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186" w:rsidRPr="00003612" w:rsidRDefault="00F23186" w:rsidP="004D42DB">
      <w:pPr>
        <w:snapToGrid w:val="0"/>
        <w:spacing w:line="384" w:lineRule="auto"/>
        <w:jc w:val="center"/>
        <w:rPr>
          <w:rFonts w:ascii="宋体" w:hAnsi="宋体"/>
          <w:sz w:val="24"/>
          <w:szCs w:val="24"/>
        </w:rPr>
      </w:pPr>
      <w:r w:rsidRPr="00003612">
        <w:rPr>
          <w:rFonts w:ascii="宋体" w:hAnsi="宋体" w:hint="eastAsia"/>
          <w:sz w:val="24"/>
          <w:szCs w:val="24"/>
        </w:rPr>
        <w:t>证券代码：000936          证券简称：华西股份        公告编号：</w:t>
      </w:r>
      <w:r w:rsidR="00092AAB" w:rsidRPr="00003612">
        <w:rPr>
          <w:rFonts w:ascii="宋体" w:hAnsi="宋体" w:hint="eastAsia"/>
          <w:sz w:val="24"/>
          <w:szCs w:val="24"/>
        </w:rPr>
        <w:t>202</w:t>
      </w:r>
      <w:r w:rsidR="00367B27" w:rsidRPr="00003612">
        <w:rPr>
          <w:rFonts w:ascii="宋体" w:hAnsi="宋体" w:hint="eastAsia"/>
          <w:sz w:val="24"/>
          <w:szCs w:val="24"/>
        </w:rPr>
        <w:t>4</w:t>
      </w:r>
      <w:r w:rsidR="00210E43" w:rsidRPr="00003612">
        <w:rPr>
          <w:rFonts w:ascii="宋体" w:hAnsi="宋体" w:hint="eastAsia"/>
          <w:sz w:val="24"/>
          <w:szCs w:val="24"/>
        </w:rPr>
        <w:t>-0</w:t>
      </w:r>
      <w:r w:rsidR="005C7F3D" w:rsidRPr="00003612">
        <w:rPr>
          <w:rFonts w:ascii="宋体" w:hAnsi="宋体" w:hint="eastAsia"/>
          <w:sz w:val="24"/>
          <w:szCs w:val="24"/>
        </w:rPr>
        <w:t>10</w:t>
      </w:r>
    </w:p>
    <w:p w:rsidR="00F23186" w:rsidRPr="006725D2" w:rsidRDefault="00F23186" w:rsidP="004D42DB">
      <w:pPr>
        <w:snapToGrid w:val="0"/>
        <w:spacing w:line="384" w:lineRule="auto"/>
        <w:jc w:val="center"/>
        <w:rPr>
          <w:rFonts w:ascii="黑体" w:eastAsia="黑体"/>
          <w:b/>
          <w:sz w:val="32"/>
          <w:szCs w:val="32"/>
        </w:rPr>
      </w:pPr>
    </w:p>
    <w:p w:rsidR="00C241F0" w:rsidRPr="00DB5984" w:rsidRDefault="00C241F0" w:rsidP="004D42DB">
      <w:pPr>
        <w:snapToGrid w:val="0"/>
        <w:spacing w:line="384" w:lineRule="auto"/>
        <w:jc w:val="center"/>
        <w:rPr>
          <w:rFonts w:ascii="黑体" w:eastAsia="黑体" w:hAnsi="宋体"/>
          <w:b/>
          <w:sz w:val="30"/>
          <w:szCs w:val="30"/>
        </w:rPr>
      </w:pPr>
      <w:r w:rsidRPr="00DB5984">
        <w:rPr>
          <w:rFonts w:ascii="黑体" w:eastAsia="黑体" w:hAnsi="宋体" w:hint="eastAsia"/>
          <w:b/>
          <w:sz w:val="30"/>
          <w:szCs w:val="30"/>
        </w:rPr>
        <w:t>江苏华西村</w:t>
      </w:r>
      <w:r w:rsidR="00E40508" w:rsidRPr="00DB5984">
        <w:rPr>
          <w:rFonts w:ascii="黑体" w:eastAsia="黑体" w:hAnsi="宋体" w:hint="eastAsia"/>
          <w:b/>
          <w:sz w:val="30"/>
          <w:szCs w:val="30"/>
        </w:rPr>
        <w:t>股份有限公司</w:t>
      </w:r>
    </w:p>
    <w:p w:rsidR="00C241F0" w:rsidRPr="00DB5984" w:rsidRDefault="00C241F0" w:rsidP="004D42DB">
      <w:pPr>
        <w:snapToGrid w:val="0"/>
        <w:spacing w:line="384" w:lineRule="auto"/>
        <w:jc w:val="center"/>
        <w:rPr>
          <w:rFonts w:ascii="黑体" w:eastAsia="黑体" w:hAnsi="宋体"/>
          <w:b/>
          <w:sz w:val="30"/>
          <w:szCs w:val="30"/>
        </w:rPr>
      </w:pPr>
      <w:r w:rsidRPr="00DB5984">
        <w:rPr>
          <w:rFonts w:ascii="黑体" w:eastAsia="黑体" w:hAnsi="宋体" w:hint="eastAsia"/>
          <w:b/>
          <w:sz w:val="30"/>
          <w:szCs w:val="30"/>
        </w:rPr>
        <w:t>2</w:t>
      </w:r>
      <w:r w:rsidR="00092AAB">
        <w:rPr>
          <w:rFonts w:ascii="黑体" w:eastAsia="黑体" w:hAnsi="宋体" w:hint="eastAsia"/>
          <w:b/>
          <w:sz w:val="30"/>
          <w:szCs w:val="30"/>
        </w:rPr>
        <w:t>02</w:t>
      </w:r>
      <w:r w:rsidR="00367B27">
        <w:rPr>
          <w:rFonts w:ascii="黑体" w:eastAsia="黑体" w:hAnsi="宋体" w:hint="eastAsia"/>
          <w:b/>
          <w:sz w:val="30"/>
          <w:szCs w:val="30"/>
        </w:rPr>
        <w:t>3</w:t>
      </w:r>
      <w:r w:rsidR="00406665">
        <w:rPr>
          <w:rFonts w:ascii="黑体" w:eastAsia="黑体" w:hAnsi="宋体" w:hint="eastAsia"/>
          <w:b/>
          <w:sz w:val="30"/>
          <w:szCs w:val="30"/>
        </w:rPr>
        <w:t>年度内部控制评价报告</w:t>
      </w:r>
    </w:p>
    <w:p w:rsidR="00634380" w:rsidRPr="00BF3366" w:rsidRDefault="00634380" w:rsidP="004D42DB">
      <w:pPr>
        <w:snapToGrid w:val="0"/>
        <w:spacing w:line="384" w:lineRule="auto"/>
        <w:jc w:val="left"/>
        <w:rPr>
          <w:rFonts w:ascii="宋体" w:hAnsi="宋体"/>
          <w:sz w:val="24"/>
          <w:szCs w:val="24"/>
        </w:rPr>
      </w:pPr>
    </w:p>
    <w:p w:rsidR="008D4216" w:rsidRDefault="008D4216" w:rsidP="00A11672">
      <w:pPr>
        <w:snapToGrid w:val="0"/>
        <w:spacing w:line="360" w:lineRule="auto"/>
        <w:rPr>
          <w:rFonts w:ascii="宋体" w:hAnsi="宋体"/>
          <w:sz w:val="24"/>
          <w:szCs w:val="24"/>
        </w:rPr>
      </w:pPr>
      <w:r>
        <w:rPr>
          <w:rFonts w:ascii="宋体" w:hAnsi="宋体" w:hint="eastAsia"/>
          <w:sz w:val="24"/>
          <w:szCs w:val="24"/>
        </w:rPr>
        <w:t xml:space="preserve">    根据《企业内部控制基本规范》及其配套指引的规定和其他内部控制监管要求（以下简称</w:t>
      </w:r>
      <w:r w:rsidR="005C3F5C">
        <w:rPr>
          <w:rFonts w:ascii="宋体" w:hAnsi="宋体" w:hint="eastAsia"/>
          <w:sz w:val="24"/>
          <w:szCs w:val="24"/>
        </w:rPr>
        <w:t>“</w:t>
      </w:r>
      <w:r>
        <w:rPr>
          <w:rFonts w:ascii="宋体" w:hAnsi="宋体" w:hint="eastAsia"/>
          <w:sz w:val="24"/>
          <w:szCs w:val="24"/>
        </w:rPr>
        <w:t>企业内部控制规范体系</w:t>
      </w:r>
      <w:r w:rsidR="005C3F5C">
        <w:rPr>
          <w:rFonts w:ascii="宋体" w:hAnsi="宋体" w:hint="eastAsia"/>
          <w:sz w:val="24"/>
          <w:szCs w:val="24"/>
        </w:rPr>
        <w:t>”</w:t>
      </w:r>
      <w:r>
        <w:rPr>
          <w:rFonts w:ascii="宋体" w:hAnsi="宋体" w:hint="eastAsia"/>
          <w:sz w:val="24"/>
          <w:szCs w:val="24"/>
        </w:rPr>
        <w:t>），结合江苏华西村股份有限公司（以下简称“公司”）内部控制制度和评价办法，在内部控制日常监督和专项监督的基础上，对公司</w:t>
      </w:r>
      <w:r w:rsidR="00092AAB">
        <w:rPr>
          <w:rFonts w:ascii="宋体" w:hAnsi="宋体" w:hint="eastAsia"/>
          <w:sz w:val="24"/>
          <w:szCs w:val="24"/>
        </w:rPr>
        <w:t>20</w:t>
      </w:r>
      <w:r w:rsidR="00367B27">
        <w:rPr>
          <w:rFonts w:ascii="宋体" w:hAnsi="宋体" w:hint="eastAsia"/>
          <w:sz w:val="24"/>
          <w:szCs w:val="24"/>
        </w:rPr>
        <w:t>23</w:t>
      </w:r>
      <w:r>
        <w:rPr>
          <w:rFonts w:ascii="宋体" w:hAnsi="宋体" w:hint="eastAsia"/>
          <w:sz w:val="24"/>
          <w:szCs w:val="24"/>
        </w:rPr>
        <w:t>年12月31</w:t>
      </w:r>
      <w:r w:rsidR="00DA3084">
        <w:rPr>
          <w:rFonts w:ascii="宋体" w:hAnsi="宋体" w:hint="eastAsia"/>
          <w:sz w:val="24"/>
          <w:szCs w:val="24"/>
        </w:rPr>
        <w:t>日（内部控制评价报告基准日）的内部控制有效性进行了评价。</w:t>
      </w:r>
    </w:p>
    <w:p w:rsidR="008D4216" w:rsidRDefault="008D4216" w:rsidP="00A11672">
      <w:pPr>
        <w:snapToGrid w:val="0"/>
        <w:spacing w:line="360" w:lineRule="auto"/>
        <w:jc w:val="left"/>
        <w:rPr>
          <w:rFonts w:ascii="宋体" w:hAnsi="宋体"/>
          <w:sz w:val="24"/>
          <w:szCs w:val="24"/>
        </w:rPr>
      </w:pPr>
    </w:p>
    <w:p w:rsidR="008D4216" w:rsidRPr="00733E00" w:rsidRDefault="008D4216" w:rsidP="00A11672">
      <w:pPr>
        <w:snapToGrid w:val="0"/>
        <w:spacing w:line="360" w:lineRule="auto"/>
        <w:jc w:val="left"/>
        <w:rPr>
          <w:rFonts w:ascii="宋体" w:hAnsi="宋体"/>
          <w:b/>
          <w:sz w:val="24"/>
          <w:szCs w:val="24"/>
        </w:rPr>
      </w:pPr>
      <w:r w:rsidRPr="00733E00">
        <w:rPr>
          <w:rFonts w:ascii="宋体" w:hAnsi="宋体" w:hint="eastAsia"/>
          <w:b/>
          <w:sz w:val="24"/>
          <w:szCs w:val="24"/>
        </w:rPr>
        <w:t xml:space="preserve">　　一、重要声明</w:t>
      </w:r>
    </w:p>
    <w:p w:rsidR="008D4216" w:rsidRDefault="008D4216" w:rsidP="00BE43CB">
      <w:pPr>
        <w:snapToGrid w:val="0"/>
        <w:spacing w:line="360" w:lineRule="auto"/>
        <w:ind w:firstLineChars="200" w:firstLine="480"/>
        <w:rPr>
          <w:rFonts w:ascii="宋体" w:hAnsi="宋体"/>
          <w:sz w:val="24"/>
          <w:szCs w:val="24"/>
        </w:rPr>
      </w:pPr>
      <w:r>
        <w:rPr>
          <w:rFonts w:ascii="宋体" w:hAnsi="宋体" w:hint="eastAsia"/>
          <w:sz w:val="24"/>
          <w:szCs w:val="24"/>
        </w:rPr>
        <w:t>按照企业内部控制规范体系的规定，建立健全和有效实施内部控制，评价其有效性，并如实披露内部控制评价报告是公司董事会的责任。监事会对董事会建立和实施内部控制进行监督。经理</w:t>
      </w:r>
      <w:proofErr w:type="gramStart"/>
      <w:r>
        <w:rPr>
          <w:rFonts w:ascii="宋体" w:hAnsi="宋体" w:hint="eastAsia"/>
          <w:sz w:val="24"/>
          <w:szCs w:val="24"/>
        </w:rPr>
        <w:t>层负责</w:t>
      </w:r>
      <w:proofErr w:type="gramEnd"/>
      <w:r>
        <w:rPr>
          <w:rFonts w:ascii="宋体" w:hAnsi="宋体" w:hint="eastAsia"/>
          <w:sz w:val="24"/>
          <w:szCs w:val="24"/>
        </w:rPr>
        <w:t>组织领导企业内部控制的日常运行。公司董事会、监事会及董事、监事、高级管理人员保证本报告内容不存在任何虚假记载、误导性陈述或重大遗漏，并对报告内容的真实性、准确性和完整性承担个别及连带法律责任。</w:t>
      </w:r>
    </w:p>
    <w:p w:rsidR="008D4216" w:rsidRDefault="008D4216" w:rsidP="00BE43CB">
      <w:pPr>
        <w:snapToGrid w:val="0"/>
        <w:spacing w:line="360" w:lineRule="auto"/>
        <w:ind w:firstLineChars="200" w:firstLine="480"/>
        <w:rPr>
          <w:rFonts w:ascii="宋体" w:hAnsi="宋体"/>
          <w:sz w:val="24"/>
          <w:szCs w:val="24"/>
        </w:rPr>
      </w:pPr>
      <w:r>
        <w:rPr>
          <w:rFonts w:ascii="宋体" w:hAnsi="宋体" w:hint="eastAsia"/>
          <w:sz w:val="24"/>
          <w:szCs w:val="24"/>
        </w:rPr>
        <w:t>公司内部控制的目标是合理保证经营管理合法合</w:t>
      </w:r>
      <w:proofErr w:type="gramStart"/>
      <w:r>
        <w:rPr>
          <w:rFonts w:ascii="宋体" w:hAnsi="宋体" w:hint="eastAsia"/>
          <w:sz w:val="24"/>
          <w:szCs w:val="24"/>
        </w:rPr>
        <w:t>规</w:t>
      </w:r>
      <w:proofErr w:type="gramEnd"/>
      <w:r>
        <w:rPr>
          <w:rFonts w:ascii="宋体" w:hAnsi="宋体" w:hint="eastAsia"/>
          <w:sz w:val="24"/>
          <w:szCs w:val="24"/>
        </w:rPr>
        <w:t>、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rsidR="007B1E50" w:rsidRDefault="007B1E50" w:rsidP="00733E00">
      <w:pPr>
        <w:snapToGrid w:val="0"/>
        <w:spacing w:line="360" w:lineRule="auto"/>
        <w:ind w:firstLineChars="200" w:firstLine="482"/>
        <w:jc w:val="left"/>
        <w:rPr>
          <w:rFonts w:ascii="宋体" w:hAnsi="宋体"/>
          <w:b/>
          <w:sz w:val="24"/>
          <w:szCs w:val="24"/>
        </w:rPr>
      </w:pPr>
    </w:p>
    <w:p w:rsidR="008D4216" w:rsidRPr="00733E00" w:rsidRDefault="008D4216" w:rsidP="00733E00">
      <w:pPr>
        <w:snapToGrid w:val="0"/>
        <w:spacing w:line="360" w:lineRule="auto"/>
        <w:ind w:firstLineChars="200" w:firstLine="482"/>
        <w:jc w:val="left"/>
        <w:rPr>
          <w:rFonts w:ascii="宋体" w:hAnsi="宋体"/>
          <w:b/>
          <w:sz w:val="24"/>
          <w:szCs w:val="24"/>
        </w:rPr>
      </w:pPr>
      <w:r w:rsidRPr="00733E00">
        <w:rPr>
          <w:rFonts w:ascii="宋体" w:hAnsi="宋体" w:hint="eastAsia"/>
          <w:b/>
          <w:sz w:val="24"/>
          <w:szCs w:val="24"/>
        </w:rPr>
        <w:t>二、内部控制评价结论</w:t>
      </w:r>
    </w:p>
    <w:p w:rsidR="008D4216" w:rsidRDefault="008D4216" w:rsidP="00BE43CB">
      <w:pPr>
        <w:snapToGrid w:val="0"/>
        <w:spacing w:line="360" w:lineRule="auto"/>
        <w:ind w:firstLineChars="200" w:firstLine="480"/>
        <w:rPr>
          <w:rFonts w:ascii="宋体" w:hAnsi="宋体"/>
          <w:sz w:val="24"/>
          <w:szCs w:val="24"/>
        </w:rPr>
      </w:pPr>
      <w:r>
        <w:rPr>
          <w:rFonts w:ascii="宋体" w:hAnsi="宋体" w:hint="eastAsia"/>
          <w:sz w:val="24"/>
          <w:szCs w:val="24"/>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p w:rsidR="008D4216" w:rsidRDefault="008D4216" w:rsidP="00BE43CB">
      <w:pPr>
        <w:snapToGrid w:val="0"/>
        <w:spacing w:line="360" w:lineRule="auto"/>
        <w:ind w:firstLineChars="200" w:firstLine="480"/>
        <w:rPr>
          <w:rFonts w:ascii="宋体" w:hAnsi="宋体"/>
          <w:sz w:val="24"/>
          <w:szCs w:val="24"/>
        </w:rPr>
      </w:pPr>
      <w:r>
        <w:rPr>
          <w:rFonts w:ascii="宋体" w:hAnsi="宋体" w:hint="eastAsia"/>
          <w:sz w:val="24"/>
          <w:szCs w:val="24"/>
        </w:rPr>
        <w:t>根据公司非财务报告内部控制重大缺陷认定情况，于内部控制评价报告基准</w:t>
      </w:r>
      <w:r>
        <w:rPr>
          <w:rFonts w:ascii="宋体" w:hAnsi="宋体" w:hint="eastAsia"/>
          <w:sz w:val="24"/>
          <w:szCs w:val="24"/>
        </w:rPr>
        <w:lastRenderedPageBreak/>
        <w:t>日，公司未发现非财务报告内部控制重大缺陷。</w:t>
      </w:r>
    </w:p>
    <w:p w:rsidR="008D4216" w:rsidRDefault="008D4216" w:rsidP="00BE43CB">
      <w:pPr>
        <w:snapToGrid w:val="0"/>
        <w:spacing w:line="360" w:lineRule="auto"/>
        <w:ind w:firstLineChars="200" w:firstLine="480"/>
        <w:rPr>
          <w:rFonts w:ascii="宋体" w:hAnsi="宋体"/>
          <w:sz w:val="24"/>
          <w:szCs w:val="24"/>
        </w:rPr>
      </w:pPr>
      <w:proofErr w:type="gramStart"/>
      <w:r>
        <w:rPr>
          <w:rFonts w:ascii="宋体" w:hAnsi="宋体" w:hint="eastAsia"/>
          <w:sz w:val="24"/>
          <w:szCs w:val="24"/>
        </w:rPr>
        <w:t>自内部</w:t>
      </w:r>
      <w:proofErr w:type="gramEnd"/>
      <w:r>
        <w:rPr>
          <w:rFonts w:ascii="宋体" w:hAnsi="宋体" w:hint="eastAsia"/>
          <w:sz w:val="24"/>
          <w:szCs w:val="24"/>
        </w:rPr>
        <w:t>控制评价报告基准日至内部控制评价报告发出日</w:t>
      </w:r>
      <w:r w:rsidR="005C3F5C">
        <w:rPr>
          <w:rFonts w:ascii="宋体" w:hAnsi="宋体" w:hint="eastAsia"/>
          <w:sz w:val="24"/>
          <w:szCs w:val="24"/>
        </w:rPr>
        <w:t>期</w:t>
      </w:r>
      <w:r>
        <w:rPr>
          <w:rFonts w:ascii="宋体" w:hAnsi="宋体" w:hint="eastAsia"/>
          <w:sz w:val="24"/>
          <w:szCs w:val="24"/>
        </w:rPr>
        <w:t>间未发生影响内部控制有效性评价结论的因素。</w:t>
      </w:r>
    </w:p>
    <w:p w:rsidR="008D4216" w:rsidRDefault="008D4216" w:rsidP="00A11672">
      <w:pPr>
        <w:snapToGrid w:val="0"/>
        <w:spacing w:line="360" w:lineRule="auto"/>
        <w:ind w:firstLineChars="200" w:firstLine="480"/>
        <w:jc w:val="left"/>
        <w:rPr>
          <w:rFonts w:ascii="宋体" w:hAnsi="宋体"/>
          <w:sz w:val="24"/>
          <w:szCs w:val="24"/>
        </w:rPr>
      </w:pPr>
    </w:p>
    <w:p w:rsidR="008D4216" w:rsidRPr="00733E00" w:rsidRDefault="008D4216" w:rsidP="00733E00">
      <w:pPr>
        <w:snapToGrid w:val="0"/>
        <w:spacing w:line="360" w:lineRule="auto"/>
        <w:ind w:firstLineChars="200" w:firstLine="482"/>
        <w:jc w:val="left"/>
        <w:rPr>
          <w:rFonts w:ascii="宋体" w:hAnsi="宋体"/>
          <w:b/>
          <w:sz w:val="24"/>
          <w:szCs w:val="24"/>
        </w:rPr>
      </w:pPr>
      <w:r w:rsidRPr="00733E00">
        <w:rPr>
          <w:rFonts w:ascii="宋体" w:hAnsi="宋体" w:hint="eastAsia"/>
          <w:b/>
          <w:sz w:val="24"/>
          <w:szCs w:val="24"/>
        </w:rPr>
        <w:t>三、内部控制评价工作情况</w:t>
      </w:r>
    </w:p>
    <w:p w:rsidR="008D4216" w:rsidRPr="00BE43CB" w:rsidRDefault="008D4216" w:rsidP="00BE43CB">
      <w:pPr>
        <w:snapToGrid w:val="0"/>
        <w:spacing w:line="360" w:lineRule="auto"/>
        <w:ind w:firstLineChars="200" w:firstLine="482"/>
        <w:jc w:val="left"/>
        <w:rPr>
          <w:rFonts w:ascii="宋体" w:hAnsi="宋体"/>
          <w:b/>
          <w:sz w:val="24"/>
          <w:szCs w:val="24"/>
        </w:rPr>
      </w:pPr>
      <w:r w:rsidRPr="00BE43CB">
        <w:rPr>
          <w:rFonts w:ascii="宋体" w:hAnsi="宋体" w:hint="eastAsia"/>
          <w:b/>
          <w:sz w:val="24"/>
          <w:szCs w:val="24"/>
        </w:rPr>
        <w:t>（一）内部控制评价范围</w:t>
      </w:r>
    </w:p>
    <w:p w:rsidR="008D4216" w:rsidRPr="00C96E0C"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公司按照风险导向原则确定纳入评价范围的主要单位、业务和事项以及高风险领域。</w:t>
      </w:r>
      <w:r w:rsidR="0085500D">
        <w:rPr>
          <w:rFonts w:ascii="宋体" w:hAnsi="宋体" w:hint="eastAsia"/>
          <w:sz w:val="24"/>
          <w:szCs w:val="24"/>
        </w:rPr>
        <w:t>纳入</w:t>
      </w:r>
      <w:r w:rsidR="00481AFF">
        <w:rPr>
          <w:rFonts w:ascii="宋体" w:hAnsi="宋体" w:hint="eastAsia"/>
          <w:sz w:val="24"/>
          <w:szCs w:val="24"/>
        </w:rPr>
        <w:t>内部控制评价范围</w:t>
      </w:r>
      <w:r w:rsidR="0085500D">
        <w:rPr>
          <w:rFonts w:ascii="宋体" w:hAnsi="宋体" w:hint="eastAsia"/>
          <w:sz w:val="24"/>
          <w:szCs w:val="24"/>
        </w:rPr>
        <w:t>的</w:t>
      </w:r>
      <w:r w:rsidR="0085500D">
        <w:rPr>
          <w:rFonts w:ascii="宋体" w:hAnsi="宋体" w:hint="eastAsia"/>
          <w:kern w:val="0"/>
          <w:sz w:val="24"/>
          <w:szCs w:val="24"/>
        </w:rPr>
        <w:t>主要单位包括江苏华西村股份有限公司本部及特种化纤厂、江阴华西化工码头有限公司、江阴华西</w:t>
      </w:r>
      <w:proofErr w:type="gramStart"/>
      <w:r w:rsidR="0085500D">
        <w:rPr>
          <w:rFonts w:ascii="宋体" w:hAnsi="宋体" w:hint="eastAsia"/>
          <w:kern w:val="0"/>
          <w:sz w:val="24"/>
          <w:szCs w:val="24"/>
        </w:rPr>
        <w:t>村资本</w:t>
      </w:r>
      <w:proofErr w:type="gramEnd"/>
      <w:r w:rsidR="0085500D">
        <w:rPr>
          <w:rFonts w:ascii="宋体" w:hAnsi="宋体" w:hint="eastAsia"/>
          <w:kern w:val="0"/>
          <w:sz w:val="24"/>
          <w:szCs w:val="24"/>
        </w:rPr>
        <w:t>有限公司、江阴市华西新材料科技有限公司、江阴华西非织造布研发基地有限公司、上海鑫华汐实业有限公司及结构化主体上海启</w:t>
      </w:r>
      <w:proofErr w:type="gramStart"/>
      <w:r w:rsidR="0085500D">
        <w:rPr>
          <w:rFonts w:ascii="宋体" w:hAnsi="宋体" w:hint="eastAsia"/>
          <w:kern w:val="0"/>
          <w:sz w:val="24"/>
          <w:szCs w:val="24"/>
        </w:rPr>
        <w:t>澜</w:t>
      </w:r>
      <w:proofErr w:type="gramEnd"/>
      <w:r w:rsidR="0085500D">
        <w:rPr>
          <w:rFonts w:ascii="宋体" w:hAnsi="宋体" w:hint="eastAsia"/>
          <w:kern w:val="0"/>
          <w:sz w:val="24"/>
          <w:szCs w:val="24"/>
        </w:rPr>
        <w:t>企业管理咨询合伙企业（有限合伙）。</w:t>
      </w:r>
      <w:r w:rsidRPr="00C96E0C">
        <w:rPr>
          <w:rFonts w:ascii="宋体" w:hAnsi="宋体" w:hint="eastAsia"/>
          <w:sz w:val="24"/>
          <w:szCs w:val="24"/>
        </w:rPr>
        <w:t>纳入评</w:t>
      </w:r>
      <w:r w:rsidR="00742F4E">
        <w:rPr>
          <w:rFonts w:ascii="宋体" w:hAnsi="宋体" w:hint="eastAsia"/>
          <w:sz w:val="24"/>
          <w:szCs w:val="24"/>
        </w:rPr>
        <w:t>价范围单位资产总额占公司合并财务报表资产总额的</w:t>
      </w:r>
      <w:r w:rsidRPr="00C96E0C">
        <w:rPr>
          <w:rFonts w:ascii="宋体" w:hAnsi="宋体" w:hint="eastAsia"/>
          <w:sz w:val="24"/>
          <w:szCs w:val="24"/>
        </w:rPr>
        <w:t>100%，营业收入合计占公司合并</w:t>
      </w:r>
      <w:r w:rsidR="00C468C9" w:rsidRPr="00C96E0C">
        <w:rPr>
          <w:rFonts w:ascii="宋体" w:hAnsi="宋体" w:hint="eastAsia"/>
          <w:sz w:val="24"/>
          <w:szCs w:val="24"/>
        </w:rPr>
        <w:t>财</w:t>
      </w:r>
      <w:r w:rsidRPr="00C96E0C">
        <w:rPr>
          <w:rFonts w:ascii="宋体" w:hAnsi="宋体" w:hint="eastAsia"/>
          <w:sz w:val="24"/>
          <w:szCs w:val="24"/>
        </w:rPr>
        <w:t>务报表营业收入总额的100%。</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纳入评价范围的主要业务和事项包括：组织架构、人力资源、社会责任、资金管理、生产管理、资产管理、投资管理、对外担保、财务报告、子公司管理等等。</w:t>
      </w:r>
    </w:p>
    <w:p w:rsidR="00D434B7" w:rsidRPr="00D434B7"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重点关注的高风险领域主要包括</w:t>
      </w:r>
      <w:r w:rsidR="00D434B7" w:rsidRPr="00D434B7">
        <w:rPr>
          <w:rFonts w:ascii="宋体" w:hAnsi="宋体"/>
          <w:sz w:val="24"/>
          <w:szCs w:val="24"/>
        </w:rPr>
        <w:t>资金管理和担保风险、资产管理风险、对外投资风险、信息披露和子公司管理风险等。子公司重点关注的风险领域为市场风险、</w:t>
      </w:r>
      <w:r w:rsidR="006D175E">
        <w:rPr>
          <w:rFonts w:ascii="宋体" w:hAnsi="宋体"/>
          <w:sz w:val="24"/>
          <w:szCs w:val="24"/>
        </w:rPr>
        <w:t>环保和安全生产风险、</w:t>
      </w:r>
      <w:r w:rsidR="00D434B7" w:rsidRPr="00D434B7">
        <w:rPr>
          <w:rFonts w:ascii="宋体" w:hAnsi="宋体"/>
          <w:sz w:val="24"/>
          <w:szCs w:val="24"/>
        </w:rPr>
        <w:t>人力资源风险</w:t>
      </w:r>
      <w:r w:rsidR="006D175E">
        <w:rPr>
          <w:rFonts w:ascii="宋体" w:hAnsi="宋体"/>
          <w:sz w:val="24"/>
          <w:szCs w:val="24"/>
        </w:rPr>
        <w:t>等</w:t>
      </w:r>
      <w:r w:rsidR="00D434B7" w:rsidRPr="00D434B7">
        <w:rPr>
          <w:rFonts w:ascii="宋体" w:hAnsi="宋体"/>
          <w:sz w:val="24"/>
          <w:szCs w:val="24"/>
        </w:rPr>
        <w:t>。</w:t>
      </w:r>
    </w:p>
    <w:p w:rsidR="008D4216" w:rsidRDefault="008D4216" w:rsidP="00D434B7">
      <w:pPr>
        <w:snapToGrid w:val="0"/>
        <w:spacing w:line="360" w:lineRule="auto"/>
        <w:ind w:firstLineChars="200" w:firstLine="480"/>
        <w:rPr>
          <w:rFonts w:ascii="宋体" w:hAnsi="宋体"/>
          <w:sz w:val="24"/>
          <w:szCs w:val="24"/>
        </w:rPr>
      </w:pPr>
      <w:r>
        <w:rPr>
          <w:rFonts w:ascii="宋体" w:hAnsi="宋体" w:hint="eastAsia"/>
          <w:sz w:val="24"/>
          <w:szCs w:val="24"/>
        </w:rPr>
        <w:t>1、组织架构</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公司内部</w:t>
      </w:r>
      <w:r w:rsidR="005C3F5C">
        <w:rPr>
          <w:rFonts w:ascii="宋体" w:hAnsi="宋体" w:hint="eastAsia"/>
          <w:sz w:val="24"/>
          <w:szCs w:val="24"/>
        </w:rPr>
        <w:t>组织</w:t>
      </w:r>
      <w:r>
        <w:rPr>
          <w:rFonts w:ascii="宋体" w:hAnsi="宋体" w:hint="eastAsia"/>
          <w:sz w:val="24"/>
          <w:szCs w:val="24"/>
        </w:rPr>
        <w:t>架构由股东大会、董事会、监事会和经理层组成，分别行使权力机构、决策机构、监督机构和执行机构的职能，各组织间各司其职，运行情况良好。</w:t>
      </w:r>
    </w:p>
    <w:p w:rsidR="008D4216" w:rsidRDefault="008D4216" w:rsidP="00A11672">
      <w:pPr>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2</w:t>
      </w:r>
      <w:r w:rsidR="008D4216">
        <w:rPr>
          <w:rFonts w:ascii="宋体" w:hAnsi="宋体" w:hint="eastAsia"/>
          <w:sz w:val="24"/>
          <w:szCs w:val="24"/>
        </w:rPr>
        <w:t>、人力资源</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根据《劳动法》及有关法律法规规定，公司实行劳动合同制，对人力资源需求、人员招聘、工资薪酬、培训管理等进行了规定。通过对公司的整个人力资源管理体系的优化完善，为公司吸引、</w:t>
      </w:r>
      <w:r w:rsidR="00287CF0">
        <w:rPr>
          <w:rFonts w:ascii="宋体" w:hAnsi="宋体" w:hint="eastAsia"/>
          <w:sz w:val="24"/>
          <w:szCs w:val="24"/>
        </w:rPr>
        <w:t>保留</w:t>
      </w:r>
      <w:r>
        <w:rPr>
          <w:rFonts w:ascii="宋体" w:hAnsi="宋体" w:hint="eastAsia"/>
          <w:sz w:val="24"/>
          <w:szCs w:val="24"/>
        </w:rPr>
        <w:t>人才提供了有力的保障。</w:t>
      </w:r>
    </w:p>
    <w:p w:rsidR="008D4216" w:rsidRDefault="008D4216" w:rsidP="00A11672">
      <w:pPr>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3</w:t>
      </w:r>
      <w:r w:rsidR="008D4216">
        <w:rPr>
          <w:rFonts w:ascii="宋体" w:hAnsi="宋体" w:hint="eastAsia"/>
          <w:sz w:val="24"/>
          <w:szCs w:val="24"/>
        </w:rPr>
        <w:t>、社会责任</w:t>
      </w:r>
    </w:p>
    <w:p w:rsidR="002516AF" w:rsidRPr="002516AF" w:rsidRDefault="002516AF" w:rsidP="002516AF">
      <w:pPr>
        <w:snapToGrid w:val="0"/>
        <w:spacing w:line="360" w:lineRule="auto"/>
        <w:ind w:firstLineChars="200" w:firstLine="480"/>
        <w:rPr>
          <w:rFonts w:ascii="宋体" w:hAnsi="宋体"/>
          <w:sz w:val="24"/>
          <w:szCs w:val="24"/>
        </w:rPr>
      </w:pPr>
      <w:r w:rsidRPr="002516AF">
        <w:rPr>
          <w:rFonts w:ascii="宋体" w:hAnsi="宋体" w:hint="eastAsia"/>
          <w:sz w:val="24"/>
          <w:szCs w:val="24"/>
        </w:rPr>
        <w:lastRenderedPageBreak/>
        <w:t>报告期内，公司严格按照《公司法》、《证券法》、《深圳证券交易所股票上市规则》等法律法规、部门规章和《公司章程》的规定，规范公司治理结构和建立健全内部控制制度。公司将履行社会责任与日常经营活动紧密结合，重视保护股东、职工、供应商和客户的合法权益，积极参与环境保护等工作，努力实现经济效益、社会效益和环境效益共赢，促进公司与全社会的协调、和谐发展。</w:t>
      </w:r>
    </w:p>
    <w:p w:rsidR="002516AF" w:rsidRDefault="002516AF" w:rsidP="00A11672">
      <w:pPr>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4</w:t>
      </w:r>
      <w:r w:rsidR="008D4216">
        <w:rPr>
          <w:rFonts w:ascii="宋体" w:hAnsi="宋体" w:hint="eastAsia"/>
          <w:sz w:val="24"/>
          <w:szCs w:val="24"/>
        </w:rPr>
        <w:t>、资金管理</w:t>
      </w:r>
    </w:p>
    <w:p w:rsidR="008D4216" w:rsidRDefault="008F73E7" w:rsidP="00A11672">
      <w:pPr>
        <w:snapToGrid w:val="0"/>
        <w:spacing w:line="360" w:lineRule="auto"/>
        <w:ind w:firstLineChars="200" w:firstLine="480"/>
        <w:rPr>
          <w:rFonts w:ascii="宋体" w:hAnsi="宋体"/>
          <w:sz w:val="24"/>
          <w:szCs w:val="24"/>
        </w:rPr>
      </w:pPr>
      <w:r>
        <w:rPr>
          <w:rFonts w:ascii="宋体" w:hAnsi="宋体" w:hint="eastAsia"/>
          <w:sz w:val="24"/>
          <w:szCs w:val="24"/>
        </w:rPr>
        <w:t>（</w:t>
      </w:r>
      <w:r w:rsidR="00C43CEC">
        <w:rPr>
          <w:rFonts w:ascii="宋体" w:hAnsi="宋体" w:hint="eastAsia"/>
          <w:sz w:val="24"/>
          <w:szCs w:val="24"/>
        </w:rPr>
        <w:t>1</w:t>
      </w:r>
      <w:r>
        <w:rPr>
          <w:rFonts w:ascii="宋体" w:hAnsi="宋体" w:hint="eastAsia"/>
          <w:sz w:val="24"/>
          <w:szCs w:val="24"/>
        </w:rPr>
        <w:t>）</w:t>
      </w:r>
      <w:r w:rsidR="008D4216">
        <w:rPr>
          <w:rFonts w:ascii="宋体" w:hAnsi="宋体" w:hint="eastAsia"/>
          <w:sz w:val="24"/>
          <w:szCs w:val="24"/>
        </w:rPr>
        <w:t>日常资金管理方面：公司资金支出按照公司规定并经相应权限人员签字审批，严格对资金收付过程进行管理控制，严格规范资金的收支条件、程序和审批权限，保障资金支付得到有效的管控。</w:t>
      </w:r>
    </w:p>
    <w:p w:rsidR="008D4216" w:rsidRDefault="008F73E7" w:rsidP="00A11672">
      <w:pPr>
        <w:snapToGrid w:val="0"/>
        <w:spacing w:line="360" w:lineRule="auto"/>
        <w:ind w:firstLineChars="200" w:firstLine="480"/>
        <w:rPr>
          <w:rFonts w:ascii="宋体" w:hAnsi="宋体"/>
          <w:sz w:val="24"/>
          <w:szCs w:val="24"/>
        </w:rPr>
      </w:pPr>
      <w:r>
        <w:rPr>
          <w:rFonts w:ascii="宋体" w:hAnsi="宋体" w:hint="eastAsia"/>
          <w:sz w:val="24"/>
          <w:szCs w:val="24"/>
        </w:rPr>
        <w:t>（2）</w:t>
      </w:r>
      <w:r w:rsidR="008D4216">
        <w:rPr>
          <w:rFonts w:ascii="宋体" w:hAnsi="宋体" w:hint="eastAsia"/>
          <w:sz w:val="24"/>
          <w:szCs w:val="24"/>
        </w:rPr>
        <w:t>融资管理方面：公司经营班子按照公司年度股东大会</w:t>
      </w:r>
      <w:r w:rsidR="00677C52">
        <w:rPr>
          <w:rFonts w:ascii="宋体" w:hAnsi="宋体" w:hint="eastAsia"/>
          <w:sz w:val="24"/>
          <w:szCs w:val="24"/>
        </w:rPr>
        <w:t>通过的《关于向银行申请综合授信额度的议案》额度内进行融资操作，同时</w:t>
      </w:r>
      <w:r w:rsidR="008D4216">
        <w:rPr>
          <w:rFonts w:ascii="宋体" w:hAnsi="宋体" w:hint="eastAsia"/>
          <w:sz w:val="24"/>
          <w:szCs w:val="24"/>
        </w:rPr>
        <w:t>根据公司发展战略</w:t>
      </w:r>
      <w:r>
        <w:rPr>
          <w:rFonts w:ascii="宋体" w:hAnsi="宋体" w:hint="eastAsia"/>
          <w:sz w:val="24"/>
          <w:szCs w:val="24"/>
        </w:rPr>
        <w:t>的</w:t>
      </w:r>
      <w:r w:rsidR="005C3F5C">
        <w:rPr>
          <w:rFonts w:ascii="宋体" w:hAnsi="宋体" w:hint="eastAsia"/>
          <w:sz w:val="24"/>
          <w:szCs w:val="24"/>
        </w:rPr>
        <w:t>需</w:t>
      </w:r>
      <w:r w:rsidR="008D4216">
        <w:rPr>
          <w:rFonts w:ascii="宋体" w:hAnsi="宋体" w:hint="eastAsia"/>
          <w:sz w:val="24"/>
          <w:szCs w:val="24"/>
        </w:rPr>
        <w:t>求和资金使用计划，合理设计融资计划和方案，保证公司资金在能够维持日常运营需求的同时减少资金成本和降低偿债风险。</w:t>
      </w:r>
    </w:p>
    <w:p w:rsidR="008D4216" w:rsidRDefault="008F73E7" w:rsidP="00A11672">
      <w:pPr>
        <w:snapToGrid w:val="0"/>
        <w:spacing w:line="360" w:lineRule="auto"/>
        <w:ind w:firstLineChars="200" w:firstLine="480"/>
        <w:rPr>
          <w:rFonts w:ascii="宋体" w:hAnsi="宋体"/>
          <w:sz w:val="24"/>
          <w:szCs w:val="24"/>
        </w:rPr>
      </w:pPr>
      <w:r>
        <w:rPr>
          <w:rFonts w:ascii="宋体" w:hAnsi="宋体" w:hint="eastAsia"/>
          <w:sz w:val="24"/>
          <w:szCs w:val="24"/>
        </w:rPr>
        <w:t>（3）</w:t>
      </w:r>
      <w:r w:rsidR="008D4216">
        <w:rPr>
          <w:rFonts w:ascii="宋体" w:hAnsi="宋体" w:hint="eastAsia"/>
          <w:sz w:val="24"/>
          <w:szCs w:val="24"/>
        </w:rPr>
        <w:t>募集资金管理方面：公司制定了《募集资金管理制度》，对募集资金的使用和管理原则、募集资金的到位与存放、募集资金的使用和管理、募集资金用途变更、募集资金使用情况的监督和管理等环节进行了明确规定，以保证募集资金管理规范。报告期内</w:t>
      </w:r>
      <w:r w:rsidR="008D4216" w:rsidRPr="00507339">
        <w:rPr>
          <w:rFonts w:ascii="宋体" w:hAnsi="宋体" w:hint="eastAsia"/>
          <w:sz w:val="24"/>
          <w:szCs w:val="24"/>
        </w:rPr>
        <w:t>，</w:t>
      </w:r>
      <w:r w:rsidR="00AD0F08">
        <w:rPr>
          <w:rFonts w:ascii="宋体" w:hAnsi="宋体" w:hint="eastAsia"/>
          <w:sz w:val="24"/>
          <w:szCs w:val="24"/>
        </w:rPr>
        <w:t>公司没有募集资金使用的情况。</w:t>
      </w:r>
    </w:p>
    <w:p w:rsidR="00AD0F08" w:rsidRPr="00913C34" w:rsidRDefault="00AD0F08" w:rsidP="00A11672">
      <w:pPr>
        <w:snapToGrid w:val="0"/>
        <w:spacing w:line="360" w:lineRule="auto"/>
        <w:ind w:firstLineChars="200" w:firstLine="480"/>
        <w:rPr>
          <w:rFonts w:ascii="宋体" w:hAnsi="宋体"/>
          <w:color w:val="FF0000"/>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5</w:t>
      </w:r>
      <w:r w:rsidR="008D4216">
        <w:rPr>
          <w:rFonts w:ascii="宋体" w:hAnsi="宋体" w:hint="eastAsia"/>
          <w:sz w:val="24"/>
          <w:szCs w:val="24"/>
        </w:rPr>
        <w:t>、生产管理</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公司对产品的</w:t>
      </w:r>
      <w:r w:rsidR="00287CF0">
        <w:rPr>
          <w:rFonts w:ascii="宋体" w:hAnsi="宋体" w:hint="eastAsia"/>
          <w:sz w:val="24"/>
          <w:szCs w:val="24"/>
        </w:rPr>
        <w:t>整个</w:t>
      </w:r>
      <w:r>
        <w:rPr>
          <w:rFonts w:ascii="宋体" w:hAnsi="宋体" w:hint="eastAsia"/>
          <w:sz w:val="24"/>
          <w:szCs w:val="24"/>
        </w:rPr>
        <w:t>生产过程进行全面管理控制，</w:t>
      </w:r>
      <w:r w:rsidR="00742F4E">
        <w:rPr>
          <w:rFonts w:ascii="宋体" w:hAnsi="宋体" w:hint="eastAsia"/>
          <w:sz w:val="24"/>
          <w:szCs w:val="24"/>
        </w:rPr>
        <w:t>在</w:t>
      </w:r>
      <w:r>
        <w:rPr>
          <w:rFonts w:ascii="宋体" w:hAnsi="宋体" w:hint="eastAsia"/>
          <w:sz w:val="24"/>
          <w:szCs w:val="24"/>
        </w:rPr>
        <w:t>生产计划控制、生产工艺管理、生产过程监督管理以及产品的质量检查控制</w:t>
      </w:r>
      <w:r w:rsidR="00742F4E">
        <w:rPr>
          <w:rFonts w:ascii="宋体" w:hAnsi="宋体" w:hint="eastAsia"/>
          <w:sz w:val="24"/>
          <w:szCs w:val="24"/>
        </w:rPr>
        <w:t>等方面</w:t>
      </w:r>
      <w:r>
        <w:rPr>
          <w:rFonts w:ascii="宋体" w:hAnsi="宋体" w:hint="eastAsia"/>
          <w:sz w:val="24"/>
          <w:szCs w:val="24"/>
        </w:rPr>
        <w:t xml:space="preserve">，均做出了程序规范和控制约束的要求。公司根据市场实际情况编制公司的生产计划，并对生产计划进行分解，确定每个生产车间的生产计划，确保公司的生产调度安排有序。公司对整个生产过程进行严格的过程管控，通过对工人的工艺操作、质量监控以及计划控制和安全检查等方面的规范要求，确保整个生产过程能按照既定的工艺程序、质量标准和计划要求有序高效的运行。对产品进行严格的质量检验，确保公司的产品质量符合质量标准，符合客户要求。 </w:t>
      </w:r>
    </w:p>
    <w:p w:rsidR="008D4216" w:rsidRDefault="008D4216" w:rsidP="00A11672">
      <w:pPr>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6</w:t>
      </w:r>
      <w:r w:rsidR="008D4216">
        <w:rPr>
          <w:rFonts w:ascii="宋体" w:hAnsi="宋体" w:hint="eastAsia"/>
          <w:sz w:val="24"/>
          <w:szCs w:val="24"/>
        </w:rPr>
        <w:t>、资产管理</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lastRenderedPageBreak/>
        <w:t>公司围绕固定资产、存货等实物资产进行科学有效的管理。在固定资产管理方面，公司围绕固定资产的购置、固定资产维修与保养、资产技术改造等方面做了明确的流程规范和约束；在存货管理方面，公司围绕原材料</w:t>
      </w:r>
      <w:r w:rsidR="00287CF0">
        <w:rPr>
          <w:rFonts w:ascii="宋体" w:hAnsi="宋体" w:hint="eastAsia"/>
          <w:sz w:val="24"/>
          <w:szCs w:val="24"/>
        </w:rPr>
        <w:t>、产成品入库出库，</w:t>
      </w:r>
      <w:r>
        <w:rPr>
          <w:rFonts w:ascii="宋体" w:hAnsi="宋体" w:hint="eastAsia"/>
          <w:sz w:val="24"/>
          <w:szCs w:val="24"/>
        </w:rPr>
        <w:t>存货盘点与处置等方面进行了明确的管理和控制。</w:t>
      </w:r>
    </w:p>
    <w:p w:rsidR="008D4216" w:rsidRDefault="008D4216" w:rsidP="00A11672">
      <w:pPr>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7</w:t>
      </w:r>
      <w:r w:rsidR="008D4216">
        <w:rPr>
          <w:rFonts w:ascii="宋体" w:hAnsi="宋体" w:hint="eastAsia"/>
          <w:sz w:val="24"/>
          <w:szCs w:val="24"/>
        </w:rPr>
        <w:t>、投资管理</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公司为加强投资管理，规范投资行为，对长短期投资的决策、投资项目的初始确认和后续计量、投资的减值评估、投资的处置等业务流程进行了规范。报告期内，公司依据</w:t>
      </w:r>
      <w:r w:rsidR="00913C34">
        <w:rPr>
          <w:rFonts w:ascii="宋体" w:hAnsi="宋体" w:hint="eastAsia"/>
          <w:sz w:val="24"/>
          <w:szCs w:val="24"/>
        </w:rPr>
        <w:t>《公司章程》</w:t>
      </w:r>
      <w:r>
        <w:rPr>
          <w:rFonts w:ascii="宋体" w:hAnsi="宋体" w:hint="eastAsia"/>
          <w:sz w:val="24"/>
          <w:szCs w:val="24"/>
        </w:rPr>
        <w:t>和相关投资管理制度的规定对外投资和管理，未有违反相关法律法规及规范性文件的情形发生。</w:t>
      </w:r>
    </w:p>
    <w:p w:rsidR="008D4216" w:rsidRDefault="008D4216" w:rsidP="00A11672">
      <w:pPr>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8</w:t>
      </w:r>
      <w:r w:rsidR="008D4216">
        <w:rPr>
          <w:rFonts w:ascii="宋体" w:hAnsi="宋体" w:hint="eastAsia"/>
          <w:sz w:val="24"/>
          <w:szCs w:val="24"/>
        </w:rPr>
        <w:t>、对外担保</w:t>
      </w:r>
    </w:p>
    <w:p w:rsidR="008D4216" w:rsidRDefault="008D4216" w:rsidP="00A11672">
      <w:pPr>
        <w:adjustRightInd w:val="0"/>
        <w:snapToGrid w:val="0"/>
        <w:spacing w:line="360" w:lineRule="auto"/>
        <w:ind w:firstLineChars="200" w:firstLine="480"/>
        <w:rPr>
          <w:rFonts w:ascii="宋体" w:hAnsi="宋体"/>
          <w:spacing w:val="5"/>
          <w:sz w:val="24"/>
        </w:rPr>
      </w:pPr>
      <w:r>
        <w:rPr>
          <w:rFonts w:ascii="宋体" w:hAnsi="宋体" w:hint="eastAsia"/>
          <w:sz w:val="24"/>
          <w:szCs w:val="24"/>
        </w:rPr>
        <w:t>为规范对外担保行为，有效控制公司对外担保风险，促进公司稳定健康发展，</w:t>
      </w:r>
      <w:r w:rsidR="00367B27">
        <w:rPr>
          <w:rFonts w:ascii="宋体" w:hAnsi="宋体" w:hint="eastAsia"/>
          <w:sz w:val="24"/>
          <w:szCs w:val="24"/>
        </w:rPr>
        <w:t>公司已</w:t>
      </w:r>
      <w:r>
        <w:rPr>
          <w:rFonts w:ascii="宋体" w:hAnsi="宋体" w:hint="eastAsia"/>
          <w:sz w:val="24"/>
          <w:szCs w:val="24"/>
        </w:rPr>
        <w:t>根据</w:t>
      </w:r>
      <w:r w:rsidR="00367B27">
        <w:rPr>
          <w:rFonts w:ascii="宋体" w:hAnsi="宋体" w:hint="eastAsia"/>
          <w:sz w:val="24"/>
          <w:szCs w:val="24"/>
        </w:rPr>
        <w:t>相关</w:t>
      </w:r>
      <w:r>
        <w:rPr>
          <w:rFonts w:ascii="宋体" w:hAnsi="宋体" w:hint="eastAsia"/>
          <w:sz w:val="24"/>
          <w:szCs w:val="24"/>
        </w:rPr>
        <w:t>法律、法规和规范性文件的规定，结合自身的实际情况，制定了《对外担保管理制度》。在《</w:t>
      </w:r>
      <w:r w:rsidR="00913C34">
        <w:rPr>
          <w:rFonts w:ascii="宋体" w:hAnsi="宋体" w:hint="eastAsia"/>
          <w:sz w:val="24"/>
          <w:szCs w:val="24"/>
        </w:rPr>
        <w:t>公司</w:t>
      </w:r>
      <w:r>
        <w:rPr>
          <w:rFonts w:ascii="宋体" w:hAnsi="宋体" w:hint="eastAsia"/>
          <w:sz w:val="24"/>
          <w:szCs w:val="24"/>
        </w:rPr>
        <w:t>章程》和《对外担保管理制度》中对担保的业务流程、风险和审批控制、被担保企业的资格和反担保、担保的执行控制、担保的信息披露、责任追究等环节作了明确规定。</w:t>
      </w:r>
      <w:r w:rsidR="00AD0F08">
        <w:rPr>
          <w:rFonts w:ascii="宋体" w:hAnsi="宋体" w:hint="eastAsia"/>
          <w:sz w:val="24"/>
          <w:szCs w:val="24"/>
        </w:rPr>
        <w:t>报告期内，公司严格执行</w:t>
      </w:r>
      <w:r w:rsidR="00AD0F08">
        <w:rPr>
          <w:rFonts w:ascii="宋体" w:hAnsi="宋体" w:hint="eastAsia"/>
          <w:spacing w:val="5"/>
          <w:sz w:val="24"/>
        </w:rPr>
        <w:t>对外担保的有关决策程序，履行对外担保情况的信息披露义务</w:t>
      </w:r>
      <w:r w:rsidR="00AD0F08" w:rsidRPr="009C51C0">
        <w:rPr>
          <w:rFonts w:ascii="宋体" w:hAnsi="宋体" w:hint="eastAsia"/>
          <w:spacing w:val="5"/>
          <w:sz w:val="24"/>
        </w:rPr>
        <w:t>。</w:t>
      </w:r>
    </w:p>
    <w:p w:rsidR="00AD0F08" w:rsidRDefault="00AD0F08" w:rsidP="00A11672">
      <w:pPr>
        <w:adjustRightInd w:val="0"/>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9</w:t>
      </w:r>
      <w:r w:rsidR="008D4216">
        <w:rPr>
          <w:rFonts w:ascii="宋体" w:hAnsi="宋体" w:hint="eastAsia"/>
          <w:sz w:val="24"/>
          <w:szCs w:val="24"/>
        </w:rPr>
        <w:t>、财务报告</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公司高度重视财务报告的数据真实、完整，对整个公司的会计核算、财务报告编制、发布等进行了严格的控制和管理。为避免出现财务报告虚假</w:t>
      </w:r>
      <w:r w:rsidR="005C3F5C">
        <w:rPr>
          <w:rFonts w:ascii="宋体" w:hAnsi="宋体" w:hint="eastAsia"/>
          <w:sz w:val="24"/>
          <w:szCs w:val="24"/>
        </w:rPr>
        <w:t>陈述</w:t>
      </w:r>
      <w:r>
        <w:rPr>
          <w:rFonts w:ascii="宋体" w:hAnsi="宋体" w:hint="eastAsia"/>
          <w:sz w:val="24"/>
          <w:szCs w:val="24"/>
        </w:rPr>
        <w:t>和重大遗漏，公司加强了对财务报告编制、合并财务报表、财务报表对外提供等方面的过程控制。具体为：财务报告编制前进行必要的资产清查、减值测试和债权债务核实，对财务报告产生重大影响的交易和事项的处理全部按照规定的权限和程</w:t>
      </w:r>
      <w:r w:rsidR="005E058E">
        <w:rPr>
          <w:rFonts w:ascii="宋体" w:hAnsi="宋体" w:hint="eastAsia"/>
          <w:sz w:val="24"/>
          <w:szCs w:val="24"/>
        </w:rPr>
        <w:t>序进行审批；</w:t>
      </w:r>
      <w:r>
        <w:rPr>
          <w:rFonts w:ascii="宋体" w:hAnsi="宋体" w:hint="eastAsia"/>
          <w:sz w:val="24"/>
          <w:szCs w:val="24"/>
        </w:rPr>
        <w:t>在财务报告编制时需严格按照国家规定的会计制度和政策要求进行编制报表，保证财务数据的准确性和真实性；在正式对外提供</w:t>
      </w:r>
      <w:r w:rsidR="00A118A5">
        <w:rPr>
          <w:rFonts w:ascii="宋体" w:hAnsi="宋体" w:hint="eastAsia"/>
          <w:sz w:val="24"/>
          <w:szCs w:val="24"/>
        </w:rPr>
        <w:t>年度</w:t>
      </w:r>
      <w:r>
        <w:rPr>
          <w:rFonts w:ascii="宋体" w:hAnsi="宋体" w:hint="eastAsia"/>
          <w:sz w:val="24"/>
          <w:szCs w:val="24"/>
        </w:rPr>
        <w:t>财务报告之前，公司聘请会计师事务所进行审计并经审计委员会确认，保证公司所提供的财务报表不存在虚假信息和重大遗漏。</w:t>
      </w:r>
    </w:p>
    <w:p w:rsidR="008D4216" w:rsidRDefault="008D4216" w:rsidP="00A11672">
      <w:pPr>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lastRenderedPageBreak/>
        <w:t>10</w:t>
      </w:r>
      <w:r w:rsidR="008D4216">
        <w:rPr>
          <w:rFonts w:ascii="宋体" w:hAnsi="宋体" w:hint="eastAsia"/>
          <w:sz w:val="24"/>
          <w:szCs w:val="24"/>
        </w:rPr>
        <w:t>、子公司的管理</w:t>
      </w:r>
    </w:p>
    <w:p w:rsidR="008D4216" w:rsidRPr="003846A8" w:rsidRDefault="008D4216" w:rsidP="00A118A5">
      <w:pPr>
        <w:snapToGrid w:val="0"/>
        <w:spacing w:line="360" w:lineRule="auto"/>
        <w:ind w:firstLineChars="200" w:firstLine="480"/>
        <w:rPr>
          <w:rFonts w:ascii="宋体" w:hAnsi="宋体"/>
          <w:sz w:val="24"/>
          <w:szCs w:val="24"/>
        </w:rPr>
      </w:pPr>
      <w:r w:rsidRPr="003846A8">
        <w:rPr>
          <w:rFonts w:ascii="宋体" w:hAnsi="宋体" w:hint="eastAsia"/>
          <w:sz w:val="24"/>
          <w:szCs w:val="24"/>
        </w:rPr>
        <w:t>公司制定并不断完善对控股子公司的控制政策及程序，依法督促控股子公司建立健全内部控制制度。根据《</w:t>
      </w:r>
      <w:r w:rsidR="00913C34" w:rsidRPr="003846A8">
        <w:rPr>
          <w:rFonts w:ascii="宋体" w:hAnsi="宋体" w:hint="eastAsia"/>
          <w:sz w:val="24"/>
          <w:szCs w:val="24"/>
        </w:rPr>
        <w:t>公司</w:t>
      </w:r>
      <w:r w:rsidRPr="003846A8">
        <w:rPr>
          <w:rFonts w:ascii="宋体" w:hAnsi="宋体" w:hint="eastAsia"/>
          <w:sz w:val="24"/>
          <w:szCs w:val="24"/>
        </w:rPr>
        <w:t>章程》、《控股子公司管理制度》等制度，规定控股子公司应该执行公司对控股子公司的各项制度规定，由公司职能部门对子公司的对口部门进行专业指导、监督及支持。控股子公司的关联交易、对外担保、重大投资等事项必须</w:t>
      </w:r>
      <w:r w:rsidR="00507339" w:rsidRPr="003846A8">
        <w:rPr>
          <w:rFonts w:ascii="宋体" w:hAnsi="宋体" w:hint="eastAsia"/>
          <w:sz w:val="24"/>
          <w:szCs w:val="24"/>
        </w:rPr>
        <w:t>按相关制度执行</w:t>
      </w:r>
      <w:r w:rsidRPr="003846A8">
        <w:rPr>
          <w:rFonts w:ascii="宋体" w:hAnsi="宋体" w:hint="eastAsia"/>
          <w:sz w:val="24"/>
          <w:szCs w:val="24"/>
        </w:rPr>
        <w:t>，重大事项需按照规定报公司董事会审议或股东大会审议。控股子公司定期向公司报送财务报表，方便公司及时检查、了解其经营及管理状况。</w:t>
      </w:r>
    </w:p>
    <w:p w:rsidR="008D4216" w:rsidRDefault="008D4216" w:rsidP="00A11672">
      <w:pPr>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11</w:t>
      </w:r>
      <w:r w:rsidR="008D4216">
        <w:rPr>
          <w:rFonts w:ascii="宋体" w:hAnsi="宋体" w:hint="eastAsia"/>
          <w:sz w:val="24"/>
          <w:szCs w:val="24"/>
        </w:rPr>
        <w:t>、采购业务</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为了促进企业合理采购满足生产经营需要，防范采购环节的舞弊风险，公司针对采购管理的关键控制环节，明确了相关的流程规范以及控制要求，主要包括采购计划管理，供应商管理，采购价格、合同、付款审核等方面。在采购计划管理方面，公司严格按照市场销售和生产需求编制采购计划，严格控制采购</w:t>
      </w:r>
      <w:r w:rsidR="00742F4E">
        <w:rPr>
          <w:rFonts w:ascii="宋体" w:hAnsi="宋体" w:hint="eastAsia"/>
          <w:sz w:val="24"/>
          <w:szCs w:val="24"/>
        </w:rPr>
        <w:t>、</w:t>
      </w:r>
      <w:r>
        <w:rPr>
          <w:rFonts w:ascii="宋体" w:hAnsi="宋体" w:hint="eastAsia"/>
          <w:sz w:val="24"/>
          <w:szCs w:val="24"/>
        </w:rPr>
        <w:t>请购环节，有效</w:t>
      </w:r>
      <w:r w:rsidR="00742F4E">
        <w:rPr>
          <w:rFonts w:ascii="宋体" w:hAnsi="宋体" w:hint="eastAsia"/>
          <w:sz w:val="24"/>
          <w:szCs w:val="24"/>
        </w:rPr>
        <w:t>预防</w:t>
      </w:r>
      <w:r>
        <w:rPr>
          <w:rFonts w:ascii="宋体" w:hAnsi="宋体" w:hint="eastAsia"/>
          <w:sz w:val="24"/>
          <w:szCs w:val="24"/>
        </w:rPr>
        <w:t>和避免原材料库存积压</w:t>
      </w:r>
      <w:r w:rsidR="00312394">
        <w:rPr>
          <w:rFonts w:ascii="宋体" w:hAnsi="宋体" w:hint="eastAsia"/>
          <w:sz w:val="24"/>
          <w:szCs w:val="24"/>
        </w:rPr>
        <w:t>等情</w:t>
      </w:r>
      <w:r w:rsidR="00742F4E">
        <w:rPr>
          <w:rFonts w:ascii="宋体" w:hAnsi="宋体" w:hint="eastAsia"/>
          <w:sz w:val="24"/>
          <w:szCs w:val="24"/>
        </w:rPr>
        <w:t>形</w:t>
      </w:r>
      <w:r>
        <w:rPr>
          <w:rFonts w:ascii="宋体" w:hAnsi="宋体" w:hint="eastAsia"/>
          <w:sz w:val="24"/>
          <w:szCs w:val="24"/>
        </w:rPr>
        <w:t>。</w:t>
      </w:r>
    </w:p>
    <w:p w:rsidR="008D4216" w:rsidRDefault="008D4216" w:rsidP="00A11672">
      <w:pPr>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12</w:t>
      </w:r>
      <w:r w:rsidR="008D4216">
        <w:rPr>
          <w:rFonts w:ascii="宋体" w:hAnsi="宋体" w:hint="eastAsia"/>
          <w:sz w:val="24"/>
          <w:szCs w:val="24"/>
        </w:rPr>
        <w:t>、销售业务</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公司对整个销售过程进行了全面的控制</w:t>
      </w:r>
      <w:r w:rsidR="00742F4E">
        <w:rPr>
          <w:rFonts w:ascii="宋体" w:hAnsi="宋体" w:hint="eastAsia"/>
          <w:sz w:val="24"/>
          <w:szCs w:val="24"/>
        </w:rPr>
        <w:t>、</w:t>
      </w:r>
      <w:r>
        <w:rPr>
          <w:rFonts w:ascii="宋体" w:hAnsi="宋体" w:hint="eastAsia"/>
          <w:sz w:val="24"/>
          <w:szCs w:val="24"/>
        </w:rPr>
        <w:t>管理和约束，主要围绕销售计划、信用管理、</w:t>
      </w:r>
      <w:r w:rsidR="00D676EC">
        <w:rPr>
          <w:rFonts w:ascii="宋体" w:hAnsi="宋体" w:hint="eastAsia"/>
          <w:sz w:val="24"/>
          <w:szCs w:val="24"/>
        </w:rPr>
        <w:t>定</w:t>
      </w:r>
      <w:r>
        <w:rPr>
          <w:rFonts w:ascii="宋体" w:hAnsi="宋体" w:hint="eastAsia"/>
          <w:sz w:val="24"/>
          <w:szCs w:val="24"/>
        </w:rPr>
        <w:t>价政策等方面进行了有效的控制和管理。公司对市场进行了深入细致的分析和预测，</w:t>
      </w:r>
      <w:r w:rsidR="00446A1D">
        <w:rPr>
          <w:rFonts w:ascii="宋体" w:hAnsi="宋体" w:hint="eastAsia"/>
          <w:sz w:val="24"/>
          <w:szCs w:val="24"/>
        </w:rPr>
        <w:t>根据</w:t>
      </w:r>
      <w:r>
        <w:rPr>
          <w:rFonts w:ascii="宋体" w:hAnsi="宋体" w:hint="eastAsia"/>
          <w:sz w:val="24"/>
          <w:szCs w:val="24"/>
        </w:rPr>
        <w:t>实际情况编制和分解销售计划。同时，公司对客户信用和</w:t>
      </w:r>
      <w:r w:rsidR="00742F4E">
        <w:rPr>
          <w:rFonts w:ascii="宋体" w:hAnsi="宋体" w:hint="eastAsia"/>
          <w:sz w:val="24"/>
          <w:szCs w:val="24"/>
        </w:rPr>
        <w:t>履约</w:t>
      </w:r>
      <w:r>
        <w:rPr>
          <w:rFonts w:ascii="宋体" w:hAnsi="宋体" w:hint="eastAsia"/>
          <w:sz w:val="24"/>
          <w:szCs w:val="24"/>
        </w:rPr>
        <w:t>能力进行细致的调查研究，逐步建立了客户信用档案，与信用</w:t>
      </w:r>
      <w:r w:rsidR="00446A1D">
        <w:rPr>
          <w:rFonts w:ascii="宋体" w:hAnsi="宋体" w:hint="eastAsia"/>
          <w:sz w:val="24"/>
          <w:szCs w:val="24"/>
        </w:rPr>
        <w:t>良好的</w:t>
      </w:r>
      <w:r w:rsidR="00C468C9">
        <w:rPr>
          <w:rFonts w:ascii="宋体" w:hAnsi="宋体" w:hint="eastAsia"/>
          <w:sz w:val="24"/>
          <w:szCs w:val="24"/>
        </w:rPr>
        <w:t>客户</w:t>
      </w:r>
      <w:r w:rsidR="00446A1D">
        <w:rPr>
          <w:rFonts w:ascii="宋体" w:hAnsi="宋体" w:hint="eastAsia"/>
          <w:sz w:val="24"/>
          <w:szCs w:val="24"/>
        </w:rPr>
        <w:t>开展</w:t>
      </w:r>
      <w:r>
        <w:rPr>
          <w:rFonts w:ascii="宋体" w:hAnsi="宋体" w:hint="eastAsia"/>
          <w:sz w:val="24"/>
          <w:szCs w:val="24"/>
        </w:rPr>
        <w:t>合作。公司制定了灵活的</w:t>
      </w:r>
      <w:r w:rsidR="00287CF0">
        <w:rPr>
          <w:rFonts w:ascii="宋体" w:hAnsi="宋体" w:hint="eastAsia"/>
          <w:sz w:val="24"/>
          <w:szCs w:val="24"/>
        </w:rPr>
        <w:t>定</w:t>
      </w:r>
      <w:r>
        <w:rPr>
          <w:rFonts w:ascii="宋体" w:hAnsi="宋体" w:hint="eastAsia"/>
          <w:sz w:val="24"/>
          <w:szCs w:val="24"/>
        </w:rPr>
        <w:t>价政策，根据实际市场情况和竞争对手的价格策略，灵活调整公司的产品销售价格，确保公司产品</w:t>
      </w:r>
      <w:r w:rsidR="00446A1D">
        <w:rPr>
          <w:rFonts w:ascii="宋体" w:hAnsi="宋体" w:hint="eastAsia"/>
          <w:sz w:val="24"/>
          <w:szCs w:val="24"/>
        </w:rPr>
        <w:t>的</w:t>
      </w:r>
      <w:r>
        <w:rPr>
          <w:rFonts w:ascii="宋体" w:hAnsi="宋体" w:hint="eastAsia"/>
          <w:sz w:val="24"/>
          <w:szCs w:val="24"/>
        </w:rPr>
        <w:t>市场竞争力。</w:t>
      </w:r>
    </w:p>
    <w:p w:rsidR="008D4216" w:rsidRPr="00B37636" w:rsidRDefault="008D4216" w:rsidP="00A11672">
      <w:pPr>
        <w:snapToGrid w:val="0"/>
        <w:spacing w:line="360" w:lineRule="auto"/>
        <w:ind w:firstLineChars="200" w:firstLine="480"/>
        <w:rPr>
          <w:rFonts w:ascii="宋体" w:hAnsi="宋体"/>
          <w:sz w:val="24"/>
          <w:szCs w:val="24"/>
        </w:rPr>
      </w:pP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1</w:t>
      </w:r>
      <w:r w:rsidR="00733E00">
        <w:rPr>
          <w:rFonts w:ascii="宋体" w:hAnsi="宋体" w:hint="eastAsia"/>
          <w:sz w:val="24"/>
          <w:szCs w:val="24"/>
        </w:rPr>
        <w:t>3</w:t>
      </w:r>
      <w:r>
        <w:rPr>
          <w:rFonts w:ascii="宋体" w:hAnsi="宋体" w:hint="eastAsia"/>
          <w:sz w:val="24"/>
          <w:szCs w:val="24"/>
        </w:rPr>
        <w:t>、关联交易</w:t>
      </w:r>
    </w:p>
    <w:p w:rsidR="00D676EC" w:rsidRPr="00D676EC" w:rsidRDefault="008D4216" w:rsidP="00A11672">
      <w:pPr>
        <w:pStyle w:val="a6"/>
        <w:snapToGrid w:val="0"/>
        <w:spacing w:after="0" w:line="360" w:lineRule="auto"/>
        <w:ind w:leftChars="0" w:left="0" w:firstLineChars="202" w:firstLine="485"/>
        <w:rPr>
          <w:sz w:val="24"/>
        </w:rPr>
      </w:pPr>
      <w:r>
        <w:rPr>
          <w:rFonts w:hint="eastAsia"/>
          <w:sz w:val="24"/>
        </w:rPr>
        <w:t>公司《关联交易决策制度》对关联交易的原则、关联</w:t>
      </w:r>
      <w:r w:rsidR="00406665">
        <w:rPr>
          <w:rFonts w:hint="eastAsia"/>
          <w:sz w:val="24"/>
        </w:rPr>
        <w:t>方</w:t>
      </w:r>
      <w:r>
        <w:rPr>
          <w:rFonts w:hint="eastAsia"/>
          <w:sz w:val="24"/>
        </w:rPr>
        <w:t>和关联关系、关联交易的决策程序、关联交易的披露等作了详尽的规定。公司与控股股东、实际控制人严格做到业务、人员、资产、机构</w:t>
      </w:r>
      <w:r w:rsidR="00FF7E1E">
        <w:rPr>
          <w:rFonts w:hint="eastAsia"/>
          <w:sz w:val="24"/>
        </w:rPr>
        <w:t>、</w:t>
      </w:r>
      <w:r>
        <w:rPr>
          <w:rFonts w:hint="eastAsia"/>
          <w:sz w:val="24"/>
        </w:rPr>
        <w:t>财务</w:t>
      </w:r>
      <w:r w:rsidR="00FF7E1E">
        <w:rPr>
          <w:rFonts w:hint="eastAsia"/>
          <w:sz w:val="24"/>
        </w:rPr>
        <w:t>等方面的完全分开</w:t>
      </w:r>
      <w:r>
        <w:rPr>
          <w:rFonts w:hint="eastAsia"/>
          <w:sz w:val="24"/>
        </w:rPr>
        <w:t>, 各自独立核算、独立承担责任和风险。报告期内，公司</w:t>
      </w:r>
      <w:r w:rsidR="00AD0F08">
        <w:rPr>
          <w:rFonts w:hint="eastAsia"/>
          <w:sz w:val="24"/>
        </w:rPr>
        <w:t>各项关联交易公正、公平、公允，</w:t>
      </w:r>
      <w:r w:rsidR="00D676EC" w:rsidRPr="00D676EC">
        <w:rPr>
          <w:sz w:val="24"/>
        </w:rPr>
        <w:t>不存在损害</w:t>
      </w:r>
      <w:r w:rsidR="00FF7E1E">
        <w:rPr>
          <w:sz w:val="24"/>
        </w:rPr>
        <w:t>公司和股东特别</w:t>
      </w:r>
      <w:r w:rsidR="00D676EC" w:rsidRPr="00D676EC">
        <w:rPr>
          <w:sz w:val="24"/>
        </w:rPr>
        <w:t>是中小</w:t>
      </w:r>
      <w:r w:rsidR="00FF7E1E">
        <w:rPr>
          <w:sz w:val="24"/>
        </w:rPr>
        <w:t>股东</w:t>
      </w:r>
      <w:r w:rsidR="00D676EC" w:rsidRPr="00D676EC">
        <w:rPr>
          <w:sz w:val="24"/>
        </w:rPr>
        <w:t>利益的情形。</w:t>
      </w:r>
    </w:p>
    <w:p w:rsidR="008D4216" w:rsidRPr="00D676EC" w:rsidRDefault="008D4216" w:rsidP="00A11672">
      <w:pPr>
        <w:snapToGrid w:val="0"/>
        <w:spacing w:line="360" w:lineRule="auto"/>
        <w:ind w:firstLineChars="200" w:firstLine="480"/>
        <w:rPr>
          <w:rFonts w:ascii="宋体" w:hAnsi="宋体"/>
          <w:sz w:val="24"/>
          <w:szCs w:val="24"/>
        </w:rPr>
      </w:pP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1</w:t>
      </w:r>
      <w:r w:rsidR="00733E00">
        <w:rPr>
          <w:rFonts w:ascii="宋体" w:hAnsi="宋体" w:hint="eastAsia"/>
          <w:sz w:val="24"/>
          <w:szCs w:val="24"/>
        </w:rPr>
        <w:t>4</w:t>
      </w:r>
      <w:r>
        <w:rPr>
          <w:rFonts w:ascii="宋体" w:hAnsi="宋体" w:hint="eastAsia"/>
          <w:sz w:val="24"/>
          <w:szCs w:val="24"/>
        </w:rPr>
        <w:t>、信息披露</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w:t>
      </w:r>
      <w:r w:rsidR="00312394">
        <w:rPr>
          <w:rFonts w:ascii="宋体" w:hAnsi="宋体" w:hint="eastAsia"/>
          <w:sz w:val="24"/>
          <w:szCs w:val="24"/>
        </w:rPr>
        <w:t>已制订了</w:t>
      </w:r>
      <w:r>
        <w:rPr>
          <w:rFonts w:ascii="宋体" w:hAnsi="宋体" w:hint="eastAsia"/>
          <w:sz w:val="24"/>
          <w:szCs w:val="24"/>
        </w:rPr>
        <w:t>《信息披露管理制度》、《董事会秘书工作细则》、《重大信息内部报告制度》、《内幕信息知情人登记管理制度》、《外部信息报送和使用管理制度》、《投资者关系管理制度》等</w:t>
      </w:r>
      <w:r w:rsidR="006F7D2D">
        <w:rPr>
          <w:rFonts w:ascii="宋体" w:hAnsi="宋体" w:hint="eastAsia"/>
          <w:sz w:val="24"/>
          <w:szCs w:val="24"/>
        </w:rPr>
        <w:t>相关</w:t>
      </w:r>
      <w:r>
        <w:rPr>
          <w:rFonts w:ascii="宋体" w:hAnsi="宋体" w:hint="eastAsia"/>
          <w:sz w:val="24"/>
          <w:szCs w:val="24"/>
        </w:rPr>
        <w:t>制度</w:t>
      </w:r>
      <w:r w:rsidR="00FF7E1E">
        <w:rPr>
          <w:rFonts w:ascii="宋体" w:hAnsi="宋体" w:hint="eastAsia"/>
          <w:sz w:val="24"/>
          <w:szCs w:val="24"/>
        </w:rPr>
        <w:t>并</w:t>
      </w:r>
      <w:r>
        <w:rPr>
          <w:rFonts w:ascii="宋体" w:hAnsi="宋体" w:hint="eastAsia"/>
          <w:sz w:val="24"/>
          <w:szCs w:val="24"/>
        </w:rPr>
        <w:t>严格遵照执行，确保对公开信息披露和重大内部事项沟通进行全程、有效的控制。公司能够严格按照有关法律法规的规定，真实、准确、完整、及时</w:t>
      </w:r>
      <w:r w:rsidR="00D676EC">
        <w:rPr>
          <w:rFonts w:ascii="宋体" w:hAnsi="宋体" w:hint="eastAsia"/>
          <w:sz w:val="24"/>
          <w:szCs w:val="24"/>
        </w:rPr>
        <w:t>、公平</w:t>
      </w:r>
      <w:r>
        <w:rPr>
          <w:rFonts w:ascii="宋体" w:hAnsi="宋体" w:hint="eastAsia"/>
          <w:sz w:val="24"/>
          <w:szCs w:val="24"/>
        </w:rPr>
        <w:t>地</w:t>
      </w:r>
      <w:r w:rsidR="00D676EC">
        <w:rPr>
          <w:rFonts w:ascii="宋体" w:hAnsi="宋体" w:hint="eastAsia"/>
          <w:sz w:val="24"/>
          <w:szCs w:val="24"/>
        </w:rPr>
        <w:t>履行</w:t>
      </w:r>
      <w:r>
        <w:rPr>
          <w:rFonts w:ascii="宋体" w:hAnsi="宋体" w:hint="eastAsia"/>
          <w:sz w:val="24"/>
          <w:szCs w:val="24"/>
        </w:rPr>
        <w:t>信息披露</w:t>
      </w:r>
      <w:r w:rsidR="00D676EC">
        <w:rPr>
          <w:rFonts w:ascii="宋体" w:hAnsi="宋体" w:hint="eastAsia"/>
          <w:sz w:val="24"/>
          <w:szCs w:val="24"/>
        </w:rPr>
        <w:t>义务</w:t>
      </w:r>
      <w:r>
        <w:rPr>
          <w:rFonts w:ascii="宋体" w:hAnsi="宋体" w:hint="eastAsia"/>
          <w:sz w:val="24"/>
          <w:szCs w:val="24"/>
        </w:rPr>
        <w:t>，确保公司所有股东平等获得</w:t>
      </w:r>
      <w:r w:rsidR="00742F4E">
        <w:rPr>
          <w:rFonts w:ascii="宋体" w:hAnsi="宋体" w:hint="eastAsia"/>
          <w:sz w:val="24"/>
          <w:szCs w:val="24"/>
        </w:rPr>
        <w:t>公司</w:t>
      </w:r>
      <w:r>
        <w:rPr>
          <w:rFonts w:ascii="宋体" w:hAnsi="宋体" w:hint="eastAsia"/>
          <w:sz w:val="24"/>
          <w:szCs w:val="24"/>
        </w:rPr>
        <w:t>信息。</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上述纳入评价范围的单位、业务和事项以及高风险领域涵盖了公司经营管理的主要方面，不存在重大遗漏。</w:t>
      </w:r>
    </w:p>
    <w:p w:rsidR="008D4216" w:rsidRDefault="008D4216" w:rsidP="00A11672">
      <w:pPr>
        <w:snapToGrid w:val="0"/>
        <w:spacing w:line="360" w:lineRule="auto"/>
        <w:ind w:firstLineChars="200" w:firstLine="480"/>
        <w:rPr>
          <w:rFonts w:ascii="宋体" w:hAnsi="宋体"/>
          <w:sz w:val="24"/>
          <w:szCs w:val="24"/>
        </w:rPr>
      </w:pPr>
    </w:p>
    <w:p w:rsidR="008D4216" w:rsidRPr="00BE43CB" w:rsidRDefault="008D4216" w:rsidP="00BE43CB">
      <w:pPr>
        <w:snapToGrid w:val="0"/>
        <w:spacing w:line="360" w:lineRule="auto"/>
        <w:ind w:firstLineChars="200" w:firstLine="482"/>
        <w:rPr>
          <w:rFonts w:ascii="宋体" w:hAnsi="宋体"/>
          <w:b/>
          <w:sz w:val="24"/>
          <w:szCs w:val="24"/>
        </w:rPr>
      </w:pPr>
      <w:r w:rsidRPr="00BE43CB">
        <w:rPr>
          <w:rFonts w:ascii="宋体" w:hAnsi="宋体" w:hint="eastAsia"/>
          <w:b/>
          <w:sz w:val="24"/>
          <w:szCs w:val="24"/>
        </w:rPr>
        <w:t>（二)内部控制评价工作依据及内部控制缺陷认定标准</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公司依据企业内部控制规范体系及公司管理制度和《内控手册》组织开展内部控制评价工作。</w:t>
      </w:r>
    </w:p>
    <w:p w:rsidR="008D4216" w:rsidRDefault="008D4216" w:rsidP="00A11672">
      <w:pPr>
        <w:snapToGrid w:val="0"/>
        <w:spacing w:line="360" w:lineRule="auto"/>
        <w:ind w:firstLineChars="200" w:firstLine="480"/>
        <w:rPr>
          <w:rFonts w:ascii="宋体" w:hAnsi="宋体"/>
          <w:sz w:val="24"/>
          <w:szCs w:val="24"/>
        </w:rPr>
      </w:pPr>
      <w:r w:rsidRPr="00176093">
        <w:rPr>
          <w:rFonts w:ascii="宋体" w:hAnsi="宋体" w:hint="eastAsia"/>
          <w:sz w:val="24"/>
          <w:szCs w:val="24"/>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基本保持一致。</w:t>
      </w:r>
      <w:r>
        <w:rPr>
          <w:rFonts w:ascii="宋体" w:hAnsi="宋体" w:hint="eastAsia"/>
          <w:sz w:val="24"/>
          <w:szCs w:val="24"/>
        </w:rPr>
        <w:t>公司确定的内部控制缺陷认定标准如下：</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1、财务报告内部控制缺陷的认定标准</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（1）定性标准</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具有以下特征的缺陷，应认定为重大缺陷：</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①该缺陷涉及董事、监事和高级管理人员舞弊并给公司造成</w:t>
      </w:r>
      <w:proofErr w:type="gramStart"/>
      <w:r>
        <w:rPr>
          <w:rFonts w:ascii="宋体" w:hAnsi="宋体" w:hint="eastAsia"/>
          <w:sz w:val="24"/>
          <w:szCs w:val="24"/>
        </w:rPr>
        <w:t>重要损失</w:t>
      </w:r>
      <w:proofErr w:type="gramEnd"/>
      <w:r>
        <w:rPr>
          <w:rFonts w:ascii="宋体" w:hAnsi="宋体" w:hint="eastAsia"/>
          <w:sz w:val="24"/>
          <w:szCs w:val="24"/>
        </w:rPr>
        <w:t>和不利影响；</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②更正已经公布的财务报表；</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③注册会计师发现当期财务报表存在重大错报，而内部控制在运行过程中未能发现该错报；</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④企业审计委员会和内部审计机构对内部控制的监督无效。</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具有以下特征的缺陷，应认定为重要缺陷：</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①未依照会计准则选择和应用会计政策；</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lastRenderedPageBreak/>
        <w:t>②未建立反舞弊程序和控制程序；</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③对于期末财务报告过程的控制存在一项或多项缺陷且不能合理保证编制的财务报表达到真实、准确的目标；</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④因执行政策偏差、核算错误等，受到处罚或公司形象出现严重负面影响等情况。</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具有以下特征的缺陷，应认定为一般缺陷：未构成重大缺陷、重要缺陷标准的其他内部控制缺陷。</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（2）定量标准</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公司合并报表错报（包括漏报）重要程度的定量标准如下：</w:t>
      </w:r>
    </w:p>
    <w:p w:rsidR="00FE58B2" w:rsidRDefault="008D4216" w:rsidP="00FE58B2">
      <w:pPr>
        <w:snapToGrid w:val="0"/>
        <w:spacing w:line="360" w:lineRule="auto"/>
        <w:ind w:firstLineChars="200" w:firstLine="480"/>
        <w:rPr>
          <w:rFonts w:ascii="宋体" w:hAnsi="宋体"/>
          <w:sz w:val="24"/>
          <w:szCs w:val="24"/>
        </w:rPr>
      </w:pPr>
      <w:r>
        <w:rPr>
          <w:rFonts w:ascii="宋体" w:hAnsi="宋体" w:hint="eastAsia"/>
          <w:sz w:val="24"/>
          <w:szCs w:val="24"/>
        </w:rPr>
        <w:t>①重大缺陷：错报≥净资产1.0%</w:t>
      </w:r>
    </w:p>
    <w:p w:rsidR="00FE58B2" w:rsidRDefault="008D4216" w:rsidP="00FE58B2">
      <w:pPr>
        <w:snapToGrid w:val="0"/>
        <w:spacing w:line="360" w:lineRule="auto"/>
        <w:ind w:firstLineChars="200" w:firstLine="480"/>
        <w:rPr>
          <w:rFonts w:ascii="宋体" w:hAnsi="宋体"/>
          <w:sz w:val="24"/>
          <w:szCs w:val="24"/>
        </w:rPr>
      </w:pPr>
      <w:r>
        <w:rPr>
          <w:rFonts w:ascii="宋体" w:hAnsi="宋体" w:hint="eastAsia"/>
          <w:sz w:val="24"/>
          <w:szCs w:val="24"/>
        </w:rPr>
        <w:t>②重要缺陷：净资产的0.5%≤错报＜净资产的1.0%</w:t>
      </w:r>
    </w:p>
    <w:p w:rsidR="008D4216" w:rsidRDefault="008D4216" w:rsidP="00FE58B2">
      <w:pPr>
        <w:snapToGrid w:val="0"/>
        <w:spacing w:line="360" w:lineRule="auto"/>
        <w:ind w:firstLineChars="200" w:firstLine="480"/>
        <w:rPr>
          <w:rFonts w:ascii="宋体" w:hAnsi="宋体"/>
          <w:sz w:val="24"/>
          <w:szCs w:val="24"/>
        </w:rPr>
      </w:pPr>
      <w:r>
        <w:rPr>
          <w:rFonts w:ascii="宋体" w:hAnsi="宋体" w:hint="eastAsia"/>
          <w:sz w:val="24"/>
          <w:szCs w:val="24"/>
        </w:rPr>
        <w:t>③一般缺陷：错报＜净资产的0.5%</w:t>
      </w:r>
    </w:p>
    <w:p w:rsidR="008D4216" w:rsidRDefault="008D4216" w:rsidP="00A11672">
      <w:pPr>
        <w:snapToGrid w:val="0"/>
        <w:spacing w:line="360" w:lineRule="auto"/>
        <w:ind w:firstLineChars="200" w:firstLine="480"/>
        <w:rPr>
          <w:rFonts w:ascii="宋体" w:hAnsi="宋体"/>
          <w:sz w:val="24"/>
          <w:szCs w:val="24"/>
        </w:rPr>
      </w:pPr>
    </w:p>
    <w:p w:rsidR="0030291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2、非财务报告内部控制缺陷的认定标准</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（1）定性标准</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具有以下特征的缺陷，应认定为重大缺陷：</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①严重违反国家法律、行政法规和规范性文件；</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②涉及公司投资和生产经营的重要业务缺乏制度控制或制度系统失效；</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③信息披露内部控制失效，导致公司被监管部门公开谴责；</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④内部控制评价的结果特别是重大缺陷未得到整改；</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⑤关键岗位管理人员和技术人员流失严重；</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⑥媒体负面报道频现且负面影响一直未消除；</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7 \* GB3 </w:instrText>
      </w:r>
      <w:r>
        <w:rPr>
          <w:rFonts w:ascii="宋体" w:hAnsi="宋体" w:hint="eastAsia"/>
          <w:sz w:val="24"/>
          <w:szCs w:val="24"/>
        </w:rPr>
        <w:fldChar w:fldCharType="separate"/>
      </w:r>
      <w:r>
        <w:rPr>
          <w:rFonts w:ascii="宋体" w:hAnsi="宋体" w:hint="eastAsia"/>
          <w:noProof/>
          <w:sz w:val="24"/>
          <w:szCs w:val="24"/>
        </w:rPr>
        <w:t>⑦</w:t>
      </w:r>
      <w:r>
        <w:rPr>
          <w:rFonts w:ascii="宋体" w:hAnsi="宋体" w:hint="eastAsia"/>
          <w:sz w:val="24"/>
          <w:szCs w:val="24"/>
        </w:rPr>
        <w:fldChar w:fldCharType="end"/>
      </w:r>
      <w:r>
        <w:rPr>
          <w:rFonts w:ascii="宋体" w:hAnsi="宋体" w:hint="eastAsia"/>
          <w:sz w:val="24"/>
          <w:szCs w:val="24"/>
        </w:rPr>
        <w:t>其他对公司产生重大负面影响的情形。</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具有以下特征的缺陷，应认定为重要缺陷：</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①重要业务制度或系统存在缺陷；</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②内部控制评价的结果特别是重要缺陷未得到整改；</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③关键岗位业务人员流失严重；</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④其他对公司产生较大负面影响的情形。</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具有以下特征的缺陷，应认定为一般缺陷：指除重大缺陷、重要缺陷之外的其他缺陷。</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lastRenderedPageBreak/>
        <w:t>（2）定量标准</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参照财务报告内部控制缺陷的定量标准，确定公司非财务报告内部控制缺陷重要程度的定量标准为：</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①重大缺陷：直接财产损失≥净资产的0.8%</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②重要缺陷：净资产的0.4%≤直接财产损失＜净资产的0.8%</w:t>
      </w:r>
    </w:p>
    <w:p w:rsidR="0030291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③一般缺陷：直接财产损失＜净资产的0.4%</w:t>
      </w:r>
    </w:p>
    <w:p w:rsidR="00302912" w:rsidRDefault="00302912" w:rsidP="00A11672">
      <w:pPr>
        <w:snapToGrid w:val="0"/>
        <w:spacing w:line="360" w:lineRule="auto"/>
        <w:ind w:firstLineChars="200" w:firstLine="480"/>
        <w:rPr>
          <w:rFonts w:ascii="宋体" w:hAnsi="宋体"/>
          <w:sz w:val="24"/>
          <w:szCs w:val="24"/>
        </w:rPr>
      </w:pPr>
    </w:p>
    <w:p w:rsidR="00302912" w:rsidRPr="00BE43CB" w:rsidRDefault="00302912" w:rsidP="00BE43CB">
      <w:pPr>
        <w:snapToGrid w:val="0"/>
        <w:spacing w:line="360" w:lineRule="auto"/>
        <w:ind w:firstLineChars="200" w:firstLine="482"/>
        <w:rPr>
          <w:rFonts w:ascii="宋体" w:hAnsi="宋体"/>
          <w:b/>
          <w:sz w:val="24"/>
          <w:szCs w:val="24"/>
        </w:rPr>
      </w:pPr>
      <w:r w:rsidRPr="00BE43CB">
        <w:rPr>
          <w:rFonts w:ascii="宋体" w:hAnsi="宋体" w:hint="eastAsia"/>
          <w:b/>
          <w:sz w:val="24"/>
          <w:szCs w:val="24"/>
        </w:rPr>
        <w:t>（三）内部控制缺陷认定及整改情况</w:t>
      </w:r>
    </w:p>
    <w:p w:rsidR="0030291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 xml:space="preserve">1、财务报告内部控制缺陷认定及整改情况 </w:t>
      </w:r>
    </w:p>
    <w:p w:rsidR="0030291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根据上述财务报告内部控制缺陷的认定标准，报告期内公司不存在财务报告内部控制重大缺陷或重要缺陷。</w:t>
      </w:r>
    </w:p>
    <w:p w:rsidR="0030291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 xml:space="preserve">2、非财务报告内部控制缺陷认定及整改情况 </w:t>
      </w:r>
    </w:p>
    <w:p w:rsidR="0030291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根据上述非财务报告内部控制缺陷的认定标准，报告期内未发现公司非财务报告内部控制重大缺陷或重要缺陷。</w:t>
      </w:r>
    </w:p>
    <w:p w:rsidR="0030291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公司将继续按照《企业内部控制基本规范》及其配套指引等相关法律法规的要求，结合公司实际，不断加强内部控制制度建设和内部控制管理，增强内部控制的执行力，及时查找内部控制的薄弱环节，</w:t>
      </w:r>
      <w:r w:rsidR="00D676EC">
        <w:rPr>
          <w:rFonts w:ascii="宋体" w:hAnsi="宋体" w:hint="eastAsia"/>
          <w:sz w:val="24"/>
          <w:szCs w:val="24"/>
        </w:rPr>
        <w:t>强化内部控制监督检查，</w:t>
      </w:r>
      <w:r>
        <w:rPr>
          <w:rFonts w:ascii="宋体" w:hAnsi="宋体" w:hint="eastAsia"/>
          <w:sz w:val="24"/>
          <w:szCs w:val="24"/>
        </w:rPr>
        <w:t>有效提高公司风险防范能力，促进公司健康、可持续发展。</w:t>
      </w:r>
    </w:p>
    <w:p w:rsidR="00492190" w:rsidRDefault="00492190" w:rsidP="00A11672">
      <w:pPr>
        <w:snapToGrid w:val="0"/>
        <w:spacing w:line="360" w:lineRule="auto"/>
        <w:jc w:val="left"/>
        <w:rPr>
          <w:rFonts w:ascii="宋体" w:hAnsi="宋体"/>
          <w:sz w:val="24"/>
          <w:szCs w:val="24"/>
        </w:rPr>
      </w:pPr>
    </w:p>
    <w:p w:rsidR="00677C52" w:rsidRDefault="00677C52" w:rsidP="00A11672">
      <w:pPr>
        <w:snapToGrid w:val="0"/>
        <w:spacing w:line="360" w:lineRule="auto"/>
        <w:jc w:val="left"/>
        <w:rPr>
          <w:rFonts w:ascii="宋体" w:hAnsi="宋体"/>
          <w:sz w:val="24"/>
          <w:szCs w:val="24"/>
        </w:rPr>
      </w:pPr>
    </w:p>
    <w:p w:rsidR="00677C52" w:rsidRDefault="00677C52" w:rsidP="00A11672">
      <w:pPr>
        <w:snapToGrid w:val="0"/>
        <w:spacing w:line="360" w:lineRule="auto"/>
        <w:jc w:val="left"/>
        <w:rPr>
          <w:rFonts w:ascii="宋体" w:hAnsi="宋体"/>
          <w:sz w:val="24"/>
          <w:szCs w:val="24"/>
        </w:rPr>
      </w:pPr>
      <w:bookmarkStart w:id="0" w:name="_GoBack"/>
      <w:bookmarkEnd w:id="0"/>
    </w:p>
    <w:p w:rsidR="008D4216" w:rsidRDefault="008D4216" w:rsidP="00A11672">
      <w:pPr>
        <w:snapToGrid w:val="0"/>
        <w:spacing w:line="360" w:lineRule="auto"/>
        <w:ind w:firstLineChars="200" w:firstLine="480"/>
        <w:rPr>
          <w:rFonts w:ascii="宋体" w:hAnsi="宋体"/>
          <w:sz w:val="24"/>
          <w:szCs w:val="24"/>
        </w:rPr>
      </w:pPr>
    </w:p>
    <w:p w:rsidR="00313C2E" w:rsidRDefault="00313C2E" w:rsidP="00A11672">
      <w:pPr>
        <w:snapToGrid w:val="0"/>
        <w:spacing w:line="360" w:lineRule="auto"/>
        <w:ind w:firstLineChars="200" w:firstLine="480"/>
        <w:rPr>
          <w:rFonts w:ascii="宋体" w:hAnsi="宋体"/>
          <w:sz w:val="24"/>
          <w:szCs w:val="24"/>
        </w:rPr>
      </w:pPr>
    </w:p>
    <w:p w:rsidR="004D42DB" w:rsidRDefault="004D42DB" w:rsidP="00A11672">
      <w:pPr>
        <w:snapToGrid w:val="0"/>
        <w:spacing w:line="360" w:lineRule="auto"/>
        <w:ind w:firstLineChars="200" w:firstLine="480"/>
        <w:rPr>
          <w:rFonts w:ascii="宋体" w:hAnsi="宋体"/>
          <w:sz w:val="24"/>
          <w:szCs w:val="24"/>
        </w:rPr>
      </w:pPr>
    </w:p>
    <w:p w:rsidR="00D057AE" w:rsidRPr="00BF44E8" w:rsidRDefault="00D057AE" w:rsidP="00481AFF">
      <w:pPr>
        <w:snapToGrid w:val="0"/>
        <w:spacing w:line="360" w:lineRule="auto"/>
        <w:ind w:leftChars="2111" w:left="5273" w:hangingChars="350" w:hanging="840"/>
        <w:jc w:val="left"/>
        <w:rPr>
          <w:rFonts w:ascii="宋体" w:hAnsi="宋体"/>
          <w:sz w:val="24"/>
          <w:szCs w:val="24"/>
        </w:rPr>
      </w:pPr>
      <w:r w:rsidRPr="00BF44E8">
        <w:rPr>
          <w:rFonts w:ascii="宋体" w:hAnsi="宋体" w:hint="eastAsia"/>
          <w:sz w:val="24"/>
          <w:szCs w:val="24"/>
        </w:rPr>
        <w:t>江苏华西村股份有限公司</w:t>
      </w:r>
      <w:r w:rsidR="00BF44E8">
        <w:rPr>
          <w:rFonts w:ascii="宋体" w:hAnsi="宋体" w:hint="eastAsia"/>
          <w:sz w:val="24"/>
          <w:szCs w:val="24"/>
        </w:rPr>
        <w:t>董事会</w:t>
      </w:r>
      <w:r w:rsidR="00AE34F1">
        <w:rPr>
          <w:rFonts w:ascii="宋体" w:hAnsi="宋体" w:hint="eastAsia"/>
          <w:sz w:val="24"/>
          <w:szCs w:val="24"/>
        </w:rPr>
        <w:t xml:space="preserve">         </w:t>
      </w:r>
      <w:r w:rsidR="00312394">
        <w:rPr>
          <w:rFonts w:ascii="宋体" w:hAnsi="宋体" w:hint="eastAsia"/>
          <w:sz w:val="24"/>
          <w:szCs w:val="24"/>
        </w:rPr>
        <w:t>20</w:t>
      </w:r>
      <w:r w:rsidR="00FF7E1E">
        <w:rPr>
          <w:rFonts w:ascii="宋体" w:hAnsi="宋体" w:hint="eastAsia"/>
          <w:sz w:val="24"/>
          <w:szCs w:val="24"/>
        </w:rPr>
        <w:t>2</w:t>
      </w:r>
      <w:r w:rsidR="006D175E">
        <w:rPr>
          <w:rFonts w:ascii="宋体" w:hAnsi="宋体" w:hint="eastAsia"/>
          <w:sz w:val="24"/>
          <w:szCs w:val="24"/>
        </w:rPr>
        <w:t>4</w:t>
      </w:r>
      <w:r w:rsidRPr="00BF44E8">
        <w:rPr>
          <w:rFonts w:ascii="宋体" w:hAnsi="宋体" w:hint="eastAsia"/>
          <w:sz w:val="24"/>
          <w:szCs w:val="24"/>
        </w:rPr>
        <w:t>年</w:t>
      </w:r>
      <w:r w:rsidR="00B37636">
        <w:rPr>
          <w:rFonts w:ascii="宋体" w:hAnsi="宋体" w:hint="eastAsia"/>
          <w:sz w:val="24"/>
          <w:szCs w:val="24"/>
        </w:rPr>
        <w:t>4</w:t>
      </w:r>
      <w:r w:rsidRPr="00BF44E8">
        <w:rPr>
          <w:rFonts w:ascii="宋体" w:hAnsi="宋体" w:hint="eastAsia"/>
          <w:sz w:val="24"/>
          <w:szCs w:val="24"/>
        </w:rPr>
        <w:t>月</w:t>
      </w:r>
      <w:r w:rsidR="00F3629A">
        <w:rPr>
          <w:rFonts w:ascii="宋体" w:hAnsi="宋体" w:hint="eastAsia"/>
          <w:sz w:val="24"/>
          <w:szCs w:val="24"/>
        </w:rPr>
        <w:t>30</w:t>
      </w:r>
      <w:r w:rsidR="00AE34F1">
        <w:rPr>
          <w:rFonts w:ascii="宋体" w:hAnsi="宋体" w:hint="eastAsia"/>
          <w:sz w:val="24"/>
          <w:szCs w:val="24"/>
        </w:rPr>
        <w:t>日</w:t>
      </w:r>
    </w:p>
    <w:sectPr w:rsidR="00D057AE" w:rsidRPr="00BF44E8" w:rsidSect="006F1FE6">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AE7" w:rsidRDefault="00D24AE7" w:rsidP="00E40508">
      <w:r>
        <w:separator/>
      </w:r>
    </w:p>
  </w:endnote>
  <w:endnote w:type="continuationSeparator" w:id="0">
    <w:p w:rsidR="00D24AE7" w:rsidRDefault="00D24AE7" w:rsidP="00E4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36" w:rsidRDefault="00B37636">
    <w:pPr>
      <w:pStyle w:val="a4"/>
      <w:jc w:val="center"/>
    </w:pPr>
    <w:r>
      <w:fldChar w:fldCharType="begin"/>
    </w:r>
    <w:r>
      <w:instrText xml:space="preserve"> PAGE   \* MERGEFORMAT </w:instrText>
    </w:r>
    <w:r>
      <w:fldChar w:fldCharType="separate"/>
    </w:r>
    <w:r w:rsidR="00003612" w:rsidRPr="00003612">
      <w:rPr>
        <w:noProof/>
        <w:lang w:val="zh-CN"/>
      </w:rPr>
      <w:t>8</w:t>
    </w:r>
    <w:r>
      <w:fldChar w:fldCharType="end"/>
    </w:r>
  </w:p>
  <w:p w:rsidR="00B37636" w:rsidRDefault="00B376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AE7" w:rsidRDefault="00D24AE7" w:rsidP="00E40508">
      <w:r>
        <w:separator/>
      </w:r>
    </w:p>
  </w:footnote>
  <w:footnote w:type="continuationSeparator" w:id="0">
    <w:p w:rsidR="00D24AE7" w:rsidRDefault="00D24AE7" w:rsidP="00E40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40A" w:rsidRDefault="00B3540A" w:rsidP="0049219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7CA37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5E763CC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6C14AE3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218A15D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6CA8D63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204EBEC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47AE8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BF06F84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B360E6AE"/>
    <w:lvl w:ilvl="0">
      <w:start w:val="1"/>
      <w:numFmt w:val="decimal"/>
      <w:lvlText w:val="%1."/>
      <w:lvlJc w:val="left"/>
      <w:pPr>
        <w:tabs>
          <w:tab w:val="num" w:pos="360"/>
        </w:tabs>
        <w:ind w:left="360" w:hangingChars="200" w:hanging="360"/>
      </w:pPr>
    </w:lvl>
  </w:abstractNum>
  <w:abstractNum w:abstractNumId="9">
    <w:nsid w:val="FFFFFF89"/>
    <w:multiLevelType w:val="singleLevel"/>
    <w:tmpl w:val="836AE0E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13B9513D"/>
    <w:multiLevelType w:val="hybridMultilevel"/>
    <w:tmpl w:val="C5747E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E7D210F"/>
    <w:multiLevelType w:val="hybridMultilevel"/>
    <w:tmpl w:val="DAFC87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7764CA5"/>
    <w:multiLevelType w:val="hybridMultilevel"/>
    <w:tmpl w:val="3E7690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42D3246"/>
    <w:multiLevelType w:val="hybridMultilevel"/>
    <w:tmpl w:val="EC60A8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0"/>
  </w:num>
  <w:num w:numId="3">
    <w:abstractNumId w:val="12"/>
  </w:num>
  <w:num w:numId="4">
    <w:abstractNumId w:val="13"/>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508"/>
    <w:rsid w:val="000024FE"/>
    <w:rsid w:val="00003612"/>
    <w:rsid w:val="000068ED"/>
    <w:rsid w:val="00017DBE"/>
    <w:rsid w:val="0003065A"/>
    <w:rsid w:val="00055D91"/>
    <w:rsid w:val="00066A8D"/>
    <w:rsid w:val="00074340"/>
    <w:rsid w:val="000848E6"/>
    <w:rsid w:val="000926FA"/>
    <w:rsid w:val="00092AAB"/>
    <w:rsid w:val="000A5E2F"/>
    <w:rsid w:val="000A76AB"/>
    <w:rsid w:val="000B34F7"/>
    <w:rsid w:val="000B3F91"/>
    <w:rsid w:val="000B67DF"/>
    <w:rsid w:val="000C7EB4"/>
    <w:rsid w:val="000E3323"/>
    <w:rsid w:val="000E3679"/>
    <w:rsid w:val="000F3674"/>
    <w:rsid w:val="0010243B"/>
    <w:rsid w:val="00102AA7"/>
    <w:rsid w:val="001043EA"/>
    <w:rsid w:val="00105360"/>
    <w:rsid w:val="001072EA"/>
    <w:rsid w:val="00117704"/>
    <w:rsid w:val="00143BA3"/>
    <w:rsid w:val="00157D25"/>
    <w:rsid w:val="001707AF"/>
    <w:rsid w:val="00176093"/>
    <w:rsid w:val="001860F6"/>
    <w:rsid w:val="001A610F"/>
    <w:rsid w:val="001A6EFB"/>
    <w:rsid w:val="001E1F41"/>
    <w:rsid w:val="00210E43"/>
    <w:rsid w:val="00215CFB"/>
    <w:rsid w:val="002516AF"/>
    <w:rsid w:val="00260346"/>
    <w:rsid w:val="00267B3A"/>
    <w:rsid w:val="002771E2"/>
    <w:rsid w:val="00284286"/>
    <w:rsid w:val="00287CF0"/>
    <w:rsid w:val="00294651"/>
    <w:rsid w:val="002973E6"/>
    <w:rsid w:val="002A71A2"/>
    <w:rsid w:val="002C5362"/>
    <w:rsid w:val="002D66D0"/>
    <w:rsid w:val="002E54F2"/>
    <w:rsid w:val="002E650A"/>
    <w:rsid w:val="00302912"/>
    <w:rsid w:val="00311875"/>
    <w:rsid w:val="00312394"/>
    <w:rsid w:val="00313C2E"/>
    <w:rsid w:val="003203D6"/>
    <w:rsid w:val="00342CF3"/>
    <w:rsid w:val="00350497"/>
    <w:rsid w:val="00365487"/>
    <w:rsid w:val="00367345"/>
    <w:rsid w:val="00367B27"/>
    <w:rsid w:val="0038373A"/>
    <w:rsid w:val="003846A8"/>
    <w:rsid w:val="003938FE"/>
    <w:rsid w:val="003A0A5F"/>
    <w:rsid w:val="003B15B7"/>
    <w:rsid w:val="003E0F9C"/>
    <w:rsid w:val="003F7242"/>
    <w:rsid w:val="00406665"/>
    <w:rsid w:val="00406817"/>
    <w:rsid w:val="00410FBD"/>
    <w:rsid w:val="0043423D"/>
    <w:rsid w:val="00437D51"/>
    <w:rsid w:val="00446A1D"/>
    <w:rsid w:val="004523EF"/>
    <w:rsid w:val="00481AFF"/>
    <w:rsid w:val="00482238"/>
    <w:rsid w:val="00492190"/>
    <w:rsid w:val="004A02B7"/>
    <w:rsid w:val="004A33E4"/>
    <w:rsid w:val="004B3E4C"/>
    <w:rsid w:val="004C325E"/>
    <w:rsid w:val="004D04F1"/>
    <w:rsid w:val="004D42DB"/>
    <w:rsid w:val="004F55D5"/>
    <w:rsid w:val="00506C82"/>
    <w:rsid w:val="00507339"/>
    <w:rsid w:val="00510529"/>
    <w:rsid w:val="005140C2"/>
    <w:rsid w:val="00522883"/>
    <w:rsid w:val="00530701"/>
    <w:rsid w:val="00540491"/>
    <w:rsid w:val="005410FB"/>
    <w:rsid w:val="005A3E82"/>
    <w:rsid w:val="005C006B"/>
    <w:rsid w:val="005C3F5C"/>
    <w:rsid w:val="005C7065"/>
    <w:rsid w:val="005C7F3D"/>
    <w:rsid w:val="005D0D83"/>
    <w:rsid w:val="005D76FA"/>
    <w:rsid w:val="005E058E"/>
    <w:rsid w:val="005E2AE6"/>
    <w:rsid w:val="00602C55"/>
    <w:rsid w:val="00607731"/>
    <w:rsid w:val="00612D86"/>
    <w:rsid w:val="00613821"/>
    <w:rsid w:val="00632DD6"/>
    <w:rsid w:val="00634380"/>
    <w:rsid w:val="00642BD4"/>
    <w:rsid w:val="00652365"/>
    <w:rsid w:val="00655C86"/>
    <w:rsid w:val="00657037"/>
    <w:rsid w:val="006725D2"/>
    <w:rsid w:val="00677C52"/>
    <w:rsid w:val="0068724C"/>
    <w:rsid w:val="006960A3"/>
    <w:rsid w:val="006A163B"/>
    <w:rsid w:val="006B0319"/>
    <w:rsid w:val="006C1578"/>
    <w:rsid w:val="006D175E"/>
    <w:rsid w:val="006E0869"/>
    <w:rsid w:val="006F017A"/>
    <w:rsid w:val="006F1FE6"/>
    <w:rsid w:val="006F7D2D"/>
    <w:rsid w:val="00703E9E"/>
    <w:rsid w:val="007057C0"/>
    <w:rsid w:val="0072179E"/>
    <w:rsid w:val="0072553A"/>
    <w:rsid w:val="00733E00"/>
    <w:rsid w:val="00742F4E"/>
    <w:rsid w:val="00751313"/>
    <w:rsid w:val="00753904"/>
    <w:rsid w:val="00754D75"/>
    <w:rsid w:val="00766E77"/>
    <w:rsid w:val="00773DEF"/>
    <w:rsid w:val="00774C5D"/>
    <w:rsid w:val="00794807"/>
    <w:rsid w:val="007A7427"/>
    <w:rsid w:val="007B1E50"/>
    <w:rsid w:val="007B2C35"/>
    <w:rsid w:val="007E38BA"/>
    <w:rsid w:val="00802468"/>
    <w:rsid w:val="00804260"/>
    <w:rsid w:val="00806B3C"/>
    <w:rsid w:val="0081394D"/>
    <w:rsid w:val="0081465A"/>
    <w:rsid w:val="00815624"/>
    <w:rsid w:val="00822F86"/>
    <w:rsid w:val="008277C8"/>
    <w:rsid w:val="008405A8"/>
    <w:rsid w:val="00840E32"/>
    <w:rsid w:val="00841ABA"/>
    <w:rsid w:val="00853C66"/>
    <w:rsid w:val="008546C8"/>
    <w:rsid w:val="0085500D"/>
    <w:rsid w:val="008610D6"/>
    <w:rsid w:val="00867CF3"/>
    <w:rsid w:val="008722F1"/>
    <w:rsid w:val="008B5EBA"/>
    <w:rsid w:val="008D4216"/>
    <w:rsid w:val="008E38EA"/>
    <w:rsid w:val="008E5060"/>
    <w:rsid w:val="008F73E7"/>
    <w:rsid w:val="00913C34"/>
    <w:rsid w:val="00937FBE"/>
    <w:rsid w:val="009466E6"/>
    <w:rsid w:val="009505B4"/>
    <w:rsid w:val="00952E6A"/>
    <w:rsid w:val="009577DC"/>
    <w:rsid w:val="00975925"/>
    <w:rsid w:val="00975A5E"/>
    <w:rsid w:val="00977298"/>
    <w:rsid w:val="00980F9A"/>
    <w:rsid w:val="00992EF7"/>
    <w:rsid w:val="00997BBB"/>
    <w:rsid w:val="009A2C4B"/>
    <w:rsid w:val="009A7FE3"/>
    <w:rsid w:val="009B51FD"/>
    <w:rsid w:val="009C26F1"/>
    <w:rsid w:val="009E0AE1"/>
    <w:rsid w:val="009F56F7"/>
    <w:rsid w:val="00A11672"/>
    <w:rsid w:val="00A118A5"/>
    <w:rsid w:val="00A12E0D"/>
    <w:rsid w:val="00A1588B"/>
    <w:rsid w:val="00A16074"/>
    <w:rsid w:val="00A233C4"/>
    <w:rsid w:val="00A249E6"/>
    <w:rsid w:val="00A26B5B"/>
    <w:rsid w:val="00A27BFF"/>
    <w:rsid w:val="00A51B68"/>
    <w:rsid w:val="00A72676"/>
    <w:rsid w:val="00A80F7A"/>
    <w:rsid w:val="00A83788"/>
    <w:rsid w:val="00A972CE"/>
    <w:rsid w:val="00AA37E7"/>
    <w:rsid w:val="00AA4D8E"/>
    <w:rsid w:val="00AB790D"/>
    <w:rsid w:val="00AD0F08"/>
    <w:rsid w:val="00AD178C"/>
    <w:rsid w:val="00AE34F1"/>
    <w:rsid w:val="00AF6C8E"/>
    <w:rsid w:val="00B05057"/>
    <w:rsid w:val="00B133C7"/>
    <w:rsid w:val="00B21281"/>
    <w:rsid w:val="00B2198B"/>
    <w:rsid w:val="00B3540A"/>
    <w:rsid w:val="00B37636"/>
    <w:rsid w:val="00B416FD"/>
    <w:rsid w:val="00B7729E"/>
    <w:rsid w:val="00B84E0A"/>
    <w:rsid w:val="00B85501"/>
    <w:rsid w:val="00B85ABB"/>
    <w:rsid w:val="00BC3962"/>
    <w:rsid w:val="00BC5EB4"/>
    <w:rsid w:val="00BE0A1A"/>
    <w:rsid w:val="00BE43CB"/>
    <w:rsid w:val="00BE4B30"/>
    <w:rsid w:val="00BF3366"/>
    <w:rsid w:val="00BF44E8"/>
    <w:rsid w:val="00C048AB"/>
    <w:rsid w:val="00C13332"/>
    <w:rsid w:val="00C241F0"/>
    <w:rsid w:val="00C43CEC"/>
    <w:rsid w:val="00C4651B"/>
    <w:rsid w:val="00C468C9"/>
    <w:rsid w:val="00C666A1"/>
    <w:rsid w:val="00C813A8"/>
    <w:rsid w:val="00C9497F"/>
    <w:rsid w:val="00C9652F"/>
    <w:rsid w:val="00C96E0C"/>
    <w:rsid w:val="00CA3145"/>
    <w:rsid w:val="00CB0986"/>
    <w:rsid w:val="00CB25BE"/>
    <w:rsid w:val="00CB3383"/>
    <w:rsid w:val="00CB7D93"/>
    <w:rsid w:val="00CC0948"/>
    <w:rsid w:val="00CC16DA"/>
    <w:rsid w:val="00D057AE"/>
    <w:rsid w:val="00D24AE7"/>
    <w:rsid w:val="00D25235"/>
    <w:rsid w:val="00D434B7"/>
    <w:rsid w:val="00D52808"/>
    <w:rsid w:val="00D537E8"/>
    <w:rsid w:val="00D676EC"/>
    <w:rsid w:val="00D704B5"/>
    <w:rsid w:val="00D73D4B"/>
    <w:rsid w:val="00D77C37"/>
    <w:rsid w:val="00DA3084"/>
    <w:rsid w:val="00DB3317"/>
    <w:rsid w:val="00DB5984"/>
    <w:rsid w:val="00DB780C"/>
    <w:rsid w:val="00DC7EAC"/>
    <w:rsid w:val="00DD4984"/>
    <w:rsid w:val="00E009C2"/>
    <w:rsid w:val="00E139B7"/>
    <w:rsid w:val="00E14D20"/>
    <w:rsid w:val="00E37F88"/>
    <w:rsid w:val="00E40508"/>
    <w:rsid w:val="00E51E12"/>
    <w:rsid w:val="00E52C2A"/>
    <w:rsid w:val="00E5593D"/>
    <w:rsid w:val="00E56233"/>
    <w:rsid w:val="00E6461F"/>
    <w:rsid w:val="00E679AD"/>
    <w:rsid w:val="00E7429A"/>
    <w:rsid w:val="00E804C2"/>
    <w:rsid w:val="00E81697"/>
    <w:rsid w:val="00E94465"/>
    <w:rsid w:val="00EC1AD3"/>
    <w:rsid w:val="00ED47B6"/>
    <w:rsid w:val="00EE40B3"/>
    <w:rsid w:val="00EE4FB1"/>
    <w:rsid w:val="00EE532F"/>
    <w:rsid w:val="00EF715E"/>
    <w:rsid w:val="00F00582"/>
    <w:rsid w:val="00F23186"/>
    <w:rsid w:val="00F236EF"/>
    <w:rsid w:val="00F3629A"/>
    <w:rsid w:val="00F37BB6"/>
    <w:rsid w:val="00F40C26"/>
    <w:rsid w:val="00F424B8"/>
    <w:rsid w:val="00F4515A"/>
    <w:rsid w:val="00F52FD7"/>
    <w:rsid w:val="00F564E3"/>
    <w:rsid w:val="00F60114"/>
    <w:rsid w:val="00F93096"/>
    <w:rsid w:val="00FB26C9"/>
    <w:rsid w:val="00FB6519"/>
    <w:rsid w:val="00FD6542"/>
    <w:rsid w:val="00FE58B2"/>
    <w:rsid w:val="00FF1097"/>
    <w:rsid w:val="00FF1FDC"/>
    <w:rsid w:val="00FF63C0"/>
    <w:rsid w:val="00FF66ED"/>
    <w:rsid w:val="00FF7D65"/>
    <w:rsid w:val="00FF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5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050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E40508"/>
    <w:rPr>
      <w:sz w:val="18"/>
      <w:szCs w:val="18"/>
    </w:rPr>
  </w:style>
  <w:style w:type="paragraph" w:styleId="a4">
    <w:name w:val="footer"/>
    <w:basedOn w:val="a"/>
    <w:link w:val="Char0"/>
    <w:uiPriority w:val="99"/>
    <w:unhideWhenUsed/>
    <w:rsid w:val="00E40508"/>
    <w:pPr>
      <w:tabs>
        <w:tab w:val="center" w:pos="4153"/>
        <w:tab w:val="right" w:pos="8306"/>
      </w:tabs>
      <w:snapToGrid w:val="0"/>
      <w:jc w:val="left"/>
    </w:pPr>
    <w:rPr>
      <w:sz w:val="18"/>
      <w:szCs w:val="18"/>
    </w:rPr>
  </w:style>
  <w:style w:type="character" w:customStyle="1" w:styleId="Char0">
    <w:name w:val="页脚 Char"/>
    <w:link w:val="a4"/>
    <w:uiPriority w:val="99"/>
    <w:rsid w:val="00E40508"/>
    <w:rPr>
      <w:sz w:val="18"/>
      <w:szCs w:val="18"/>
    </w:rPr>
  </w:style>
  <w:style w:type="table" w:styleId="a5">
    <w:name w:val="Table Grid"/>
    <w:basedOn w:val="a1"/>
    <w:uiPriority w:val="59"/>
    <w:rsid w:val="00F601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2468"/>
    <w:pPr>
      <w:widowControl w:val="0"/>
      <w:autoSpaceDE w:val="0"/>
      <w:autoSpaceDN w:val="0"/>
      <w:adjustRightInd w:val="0"/>
    </w:pPr>
    <w:rPr>
      <w:rFonts w:ascii="宋体" w:cs="宋体"/>
      <w:color w:val="000000"/>
      <w:sz w:val="24"/>
      <w:szCs w:val="24"/>
    </w:rPr>
  </w:style>
  <w:style w:type="paragraph" w:customStyle="1" w:styleId="CharCharCharCharCharChar1CharCharChar">
    <w:name w:val="Char Char Char Char Char Char1 Char Char Char"/>
    <w:basedOn w:val="a"/>
    <w:rsid w:val="006F017A"/>
    <w:pPr>
      <w:autoSpaceDE w:val="0"/>
      <w:autoSpaceDN w:val="0"/>
      <w:adjustRightInd w:val="0"/>
      <w:jc w:val="left"/>
      <w:textAlignment w:val="baseline"/>
    </w:pPr>
    <w:rPr>
      <w:rFonts w:ascii="宋体" w:hAnsi="Times New Roman" w:cs="宋体"/>
      <w:kern w:val="0"/>
      <w:sz w:val="34"/>
      <w:szCs w:val="34"/>
    </w:rPr>
  </w:style>
  <w:style w:type="character" w:customStyle="1" w:styleId="fontstyle01">
    <w:name w:val="fontstyle01"/>
    <w:rsid w:val="00D676EC"/>
    <w:rPr>
      <w:rFonts w:ascii="仿宋" w:eastAsia="仿宋" w:hint="eastAsia"/>
      <w:b w:val="0"/>
      <w:bCs w:val="0"/>
      <w:i w:val="0"/>
      <w:iCs w:val="0"/>
      <w:color w:val="000000"/>
      <w:sz w:val="24"/>
      <w:szCs w:val="24"/>
    </w:rPr>
  </w:style>
  <w:style w:type="paragraph" w:styleId="a6">
    <w:name w:val="Body Text Indent"/>
    <w:basedOn w:val="a"/>
    <w:link w:val="Char1"/>
    <w:rsid w:val="00D676EC"/>
    <w:pPr>
      <w:spacing w:after="120"/>
      <w:ind w:leftChars="200" w:left="200"/>
    </w:pPr>
    <w:rPr>
      <w:rFonts w:ascii="宋体" w:hAnsi="宋体"/>
      <w:sz w:val="28"/>
      <w:szCs w:val="24"/>
    </w:rPr>
  </w:style>
  <w:style w:type="character" w:customStyle="1" w:styleId="Char1">
    <w:name w:val="正文文本缩进 Char"/>
    <w:link w:val="a6"/>
    <w:rsid w:val="00D676EC"/>
    <w:rPr>
      <w:rFonts w:ascii="宋体" w:hAnsi="宋体"/>
      <w:kern w:val="2"/>
      <w:sz w:val="28"/>
      <w:szCs w:val="24"/>
    </w:rPr>
  </w:style>
  <w:style w:type="paragraph" w:styleId="a7">
    <w:name w:val="Normal (Web)"/>
    <w:basedOn w:val="a"/>
    <w:uiPriority w:val="99"/>
    <w:semiHidden/>
    <w:unhideWhenUsed/>
    <w:rsid w:val="00602C55"/>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5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050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E40508"/>
    <w:rPr>
      <w:sz w:val="18"/>
      <w:szCs w:val="18"/>
    </w:rPr>
  </w:style>
  <w:style w:type="paragraph" w:styleId="a4">
    <w:name w:val="footer"/>
    <w:basedOn w:val="a"/>
    <w:link w:val="Char0"/>
    <w:uiPriority w:val="99"/>
    <w:unhideWhenUsed/>
    <w:rsid w:val="00E40508"/>
    <w:pPr>
      <w:tabs>
        <w:tab w:val="center" w:pos="4153"/>
        <w:tab w:val="right" w:pos="8306"/>
      </w:tabs>
      <w:snapToGrid w:val="0"/>
      <w:jc w:val="left"/>
    </w:pPr>
    <w:rPr>
      <w:sz w:val="18"/>
      <w:szCs w:val="18"/>
    </w:rPr>
  </w:style>
  <w:style w:type="character" w:customStyle="1" w:styleId="Char0">
    <w:name w:val="页脚 Char"/>
    <w:link w:val="a4"/>
    <w:uiPriority w:val="99"/>
    <w:rsid w:val="00E40508"/>
    <w:rPr>
      <w:sz w:val="18"/>
      <w:szCs w:val="18"/>
    </w:rPr>
  </w:style>
  <w:style w:type="table" w:styleId="a5">
    <w:name w:val="Table Grid"/>
    <w:basedOn w:val="a1"/>
    <w:uiPriority w:val="59"/>
    <w:rsid w:val="00F601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2468"/>
    <w:pPr>
      <w:widowControl w:val="0"/>
      <w:autoSpaceDE w:val="0"/>
      <w:autoSpaceDN w:val="0"/>
      <w:adjustRightInd w:val="0"/>
    </w:pPr>
    <w:rPr>
      <w:rFonts w:ascii="宋体" w:cs="宋体"/>
      <w:color w:val="000000"/>
      <w:sz w:val="24"/>
      <w:szCs w:val="24"/>
    </w:rPr>
  </w:style>
  <w:style w:type="paragraph" w:customStyle="1" w:styleId="CharCharCharCharCharChar1CharCharChar">
    <w:name w:val="Char Char Char Char Char Char1 Char Char Char"/>
    <w:basedOn w:val="a"/>
    <w:rsid w:val="006F017A"/>
    <w:pPr>
      <w:autoSpaceDE w:val="0"/>
      <w:autoSpaceDN w:val="0"/>
      <w:adjustRightInd w:val="0"/>
      <w:jc w:val="left"/>
      <w:textAlignment w:val="baseline"/>
    </w:pPr>
    <w:rPr>
      <w:rFonts w:ascii="宋体" w:hAnsi="Times New Roman" w:cs="宋体"/>
      <w:kern w:val="0"/>
      <w:sz w:val="34"/>
      <w:szCs w:val="34"/>
    </w:rPr>
  </w:style>
  <w:style w:type="character" w:customStyle="1" w:styleId="fontstyle01">
    <w:name w:val="fontstyle01"/>
    <w:rsid w:val="00D676EC"/>
    <w:rPr>
      <w:rFonts w:ascii="仿宋" w:eastAsia="仿宋" w:hint="eastAsia"/>
      <w:b w:val="0"/>
      <w:bCs w:val="0"/>
      <w:i w:val="0"/>
      <w:iCs w:val="0"/>
      <w:color w:val="000000"/>
      <w:sz w:val="24"/>
      <w:szCs w:val="24"/>
    </w:rPr>
  </w:style>
  <w:style w:type="paragraph" w:styleId="a6">
    <w:name w:val="Body Text Indent"/>
    <w:basedOn w:val="a"/>
    <w:link w:val="Char1"/>
    <w:rsid w:val="00D676EC"/>
    <w:pPr>
      <w:spacing w:after="120"/>
      <w:ind w:leftChars="200" w:left="200"/>
    </w:pPr>
    <w:rPr>
      <w:rFonts w:ascii="宋体" w:hAnsi="宋体"/>
      <w:sz w:val="28"/>
      <w:szCs w:val="24"/>
    </w:rPr>
  </w:style>
  <w:style w:type="character" w:customStyle="1" w:styleId="Char1">
    <w:name w:val="正文文本缩进 Char"/>
    <w:link w:val="a6"/>
    <w:rsid w:val="00D676EC"/>
    <w:rPr>
      <w:rFonts w:ascii="宋体" w:hAnsi="宋体"/>
      <w:kern w:val="2"/>
      <w:sz w:val="28"/>
      <w:szCs w:val="24"/>
    </w:rPr>
  </w:style>
  <w:style w:type="paragraph" w:styleId="a7">
    <w:name w:val="Normal (Web)"/>
    <w:basedOn w:val="a"/>
    <w:uiPriority w:val="99"/>
    <w:semiHidden/>
    <w:unhideWhenUsed/>
    <w:rsid w:val="00602C5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0497">
      <w:bodyDiv w:val="1"/>
      <w:marLeft w:val="0"/>
      <w:marRight w:val="0"/>
      <w:marTop w:val="0"/>
      <w:marBottom w:val="0"/>
      <w:divBdr>
        <w:top w:val="none" w:sz="0" w:space="0" w:color="auto"/>
        <w:left w:val="none" w:sz="0" w:space="0" w:color="auto"/>
        <w:bottom w:val="none" w:sz="0" w:space="0" w:color="auto"/>
        <w:right w:val="none" w:sz="0" w:space="0" w:color="auto"/>
      </w:divBdr>
      <w:divsChild>
        <w:div w:id="1599830969">
          <w:marLeft w:val="0"/>
          <w:marRight w:val="0"/>
          <w:marTop w:val="0"/>
          <w:marBottom w:val="0"/>
          <w:divBdr>
            <w:top w:val="none" w:sz="0" w:space="0" w:color="auto"/>
            <w:left w:val="none" w:sz="0" w:space="0" w:color="auto"/>
            <w:bottom w:val="none" w:sz="0" w:space="0" w:color="auto"/>
            <w:right w:val="none" w:sz="0" w:space="0" w:color="auto"/>
          </w:divBdr>
          <w:divsChild>
            <w:div w:id="18157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53461">
      <w:bodyDiv w:val="1"/>
      <w:marLeft w:val="0"/>
      <w:marRight w:val="0"/>
      <w:marTop w:val="0"/>
      <w:marBottom w:val="0"/>
      <w:divBdr>
        <w:top w:val="none" w:sz="0" w:space="0" w:color="auto"/>
        <w:left w:val="none" w:sz="0" w:space="0" w:color="auto"/>
        <w:bottom w:val="none" w:sz="0" w:space="0" w:color="auto"/>
        <w:right w:val="none" w:sz="0" w:space="0" w:color="auto"/>
      </w:divBdr>
    </w:div>
    <w:div w:id="1084301776">
      <w:bodyDiv w:val="1"/>
      <w:marLeft w:val="0"/>
      <w:marRight w:val="0"/>
      <w:marTop w:val="0"/>
      <w:marBottom w:val="0"/>
      <w:divBdr>
        <w:top w:val="none" w:sz="0" w:space="0" w:color="auto"/>
        <w:left w:val="none" w:sz="0" w:space="0" w:color="auto"/>
        <w:bottom w:val="none" w:sz="0" w:space="0" w:color="auto"/>
        <w:right w:val="none" w:sz="0" w:space="0" w:color="auto"/>
      </w:divBdr>
    </w:div>
    <w:div w:id="1218275070">
      <w:bodyDiv w:val="1"/>
      <w:marLeft w:val="0"/>
      <w:marRight w:val="0"/>
      <w:marTop w:val="0"/>
      <w:marBottom w:val="0"/>
      <w:divBdr>
        <w:top w:val="none" w:sz="0" w:space="0" w:color="auto"/>
        <w:left w:val="none" w:sz="0" w:space="0" w:color="auto"/>
        <w:bottom w:val="none" w:sz="0" w:space="0" w:color="auto"/>
        <w:right w:val="none" w:sz="0" w:space="0" w:color="auto"/>
      </w:divBdr>
      <w:divsChild>
        <w:div w:id="1735930218">
          <w:marLeft w:val="0"/>
          <w:marRight w:val="0"/>
          <w:marTop w:val="0"/>
          <w:marBottom w:val="0"/>
          <w:divBdr>
            <w:top w:val="none" w:sz="0" w:space="0" w:color="auto"/>
            <w:left w:val="none" w:sz="0" w:space="0" w:color="auto"/>
            <w:bottom w:val="none" w:sz="0" w:space="0" w:color="auto"/>
            <w:right w:val="none" w:sz="0" w:space="0" w:color="auto"/>
          </w:divBdr>
          <w:divsChild>
            <w:div w:id="15123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231817">
      <w:bodyDiv w:val="1"/>
      <w:marLeft w:val="0"/>
      <w:marRight w:val="0"/>
      <w:marTop w:val="0"/>
      <w:marBottom w:val="0"/>
      <w:divBdr>
        <w:top w:val="none" w:sz="0" w:space="0" w:color="auto"/>
        <w:left w:val="none" w:sz="0" w:space="0" w:color="auto"/>
        <w:bottom w:val="none" w:sz="0" w:space="0" w:color="auto"/>
        <w:right w:val="none" w:sz="0" w:space="0" w:color="auto"/>
      </w:divBdr>
      <w:divsChild>
        <w:div w:id="1052971542">
          <w:marLeft w:val="0"/>
          <w:marRight w:val="0"/>
          <w:marTop w:val="0"/>
          <w:marBottom w:val="0"/>
          <w:divBdr>
            <w:top w:val="none" w:sz="0" w:space="0" w:color="auto"/>
            <w:left w:val="none" w:sz="0" w:space="0" w:color="auto"/>
            <w:bottom w:val="none" w:sz="0" w:space="0" w:color="auto"/>
            <w:right w:val="none" w:sz="0" w:space="0" w:color="auto"/>
          </w:divBdr>
          <w:divsChild>
            <w:div w:id="13179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818</Words>
  <Characters>4663</Characters>
  <Application>Microsoft Office Word</Application>
  <DocSecurity>0</DocSecurity>
  <Lines>38</Lines>
  <Paragraphs>10</Paragraphs>
  <ScaleCrop>false</ScaleCrop>
  <Company>gfgs</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hxgf</dc:creator>
  <cp:lastModifiedBy>Lenovo</cp:lastModifiedBy>
  <cp:revision>12</cp:revision>
  <cp:lastPrinted>2016-03-12T03:00:00Z</cp:lastPrinted>
  <dcterms:created xsi:type="dcterms:W3CDTF">2023-12-25T02:41:00Z</dcterms:created>
  <dcterms:modified xsi:type="dcterms:W3CDTF">2024-04-26T07:39:00Z</dcterms:modified>
</cp:coreProperties>
</file>