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9D2" w:rsidRPr="00FA1552" w:rsidRDefault="00D75A6D" w:rsidP="00FA1552">
      <w:pPr>
        <w:snapToGrid w:val="0"/>
        <w:spacing w:before="200" w:after="400" w:line="360" w:lineRule="auto"/>
        <w:jc w:val="center"/>
        <w:rPr>
          <w:rFonts w:ascii="宋体" w:eastAsia="宋体" w:hAnsi="宋体" w:cs="宋体"/>
          <w:szCs w:val="21"/>
        </w:rPr>
      </w:pPr>
      <w:r w:rsidRPr="00FA1552">
        <w:rPr>
          <w:rFonts w:ascii="宋体" w:eastAsia="宋体" w:hAnsi="宋体" w:cs="宋体"/>
          <w:szCs w:val="21"/>
        </w:rPr>
        <w:t>证券代码：000936                证券简称：华西股份                公告编号：2023-0</w:t>
      </w:r>
      <w:r w:rsidR="00DD4A06">
        <w:rPr>
          <w:rFonts w:ascii="宋体" w:eastAsia="宋体" w:hAnsi="宋体" w:cs="宋体" w:hint="eastAsia"/>
          <w:szCs w:val="21"/>
        </w:rPr>
        <w:t>36</w:t>
      </w:r>
    </w:p>
    <w:p w:rsidR="00FA1552" w:rsidRPr="00FA1552" w:rsidRDefault="00D75A6D" w:rsidP="00FA1552">
      <w:pPr>
        <w:adjustRightInd w:val="0"/>
        <w:snapToGrid w:val="0"/>
        <w:spacing w:line="360" w:lineRule="auto"/>
        <w:jc w:val="center"/>
        <w:rPr>
          <w:rFonts w:asciiTheme="minorEastAsia" w:hAnsiTheme="minorEastAsia" w:cs="宋体"/>
          <w:b/>
          <w:bCs/>
          <w:sz w:val="30"/>
          <w:szCs w:val="30"/>
        </w:rPr>
      </w:pPr>
      <w:r w:rsidRPr="00FA1552">
        <w:rPr>
          <w:rFonts w:asciiTheme="minorEastAsia" w:hAnsiTheme="minorEastAsia" w:cs="宋体"/>
          <w:b/>
          <w:bCs/>
          <w:sz w:val="30"/>
          <w:szCs w:val="30"/>
        </w:rPr>
        <w:t>江苏华西村股份有限公司</w:t>
      </w:r>
    </w:p>
    <w:p w:rsidR="003D79D2" w:rsidRPr="00FA1552" w:rsidRDefault="00D75A6D" w:rsidP="00FA1552">
      <w:pPr>
        <w:adjustRightInd w:val="0"/>
        <w:snapToGrid w:val="0"/>
        <w:spacing w:line="360" w:lineRule="auto"/>
        <w:jc w:val="center"/>
        <w:rPr>
          <w:rFonts w:asciiTheme="minorEastAsia" w:hAnsiTheme="minorEastAsia" w:cs="宋体"/>
          <w:b/>
          <w:bCs/>
          <w:sz w:val="30"/>
          <w:szCs w:val="30"/>
        </w:rPr>
      </w:pPr>
      <w:r w:rsidRPr="00FA1552">
        <w:rPr>
          <w:rFonts w:asciiTheme="minorEastAsia" w:hAnsiTheme="minorEastAsia" w:cs="宋体"/>
          <w:b/>
          <w:bCs/>
          <w:sz w:val="30"/>
          <w:szCs w:val="30"/>
        </w:rPr>
        <w:t>2023年半年度报告摘要</w:t>
      </w:r>
    </w:p>
    <w:p w:rsidR="00FA1552" w:rsidRPr="00FA1552" w:rsidRDefault="00FA1552" w:rsidP="00FA1552">
      <w:pPr>
        <w:rPr>
          <w:rFonts w:ascii="黑体" w:eastAsia="黑体" w:hAnsi="黑体" w:cs="宋体"/>
          <w:b/>
          <w:bCs/>
          <w:sz w:val="24"/>
          <w:szCs w:val="24"/>
        </w:rPr>
      </w:pPr>
      <w:bookmarkStart w:id="0" w:name="_Toc988889"/>
    </w:p>
    <w:p w:rsidR="003D79D2" w:rsidRDefault="00D75A6D" w:rsidP="00FA1552">
      <w:pPr>
        <w:rPr>
          <w:rFonts w:ascii="宋体" w:eastAsia="宋体" w:hAnsi="宋体" w:cs="宋体"/>
          <w:b/>
          <w:bCs/>
          <w:sz w:val="24"/>
          <w:szCs w:val="24"/>
        </w:rPr>
      </w:pPr>
      <w:r>
        <w:rPr>
          <w:rFonts w:ascii="宋体" w:eastAsia="宋体" w:hAnsi="宋体" w:cs="宋体"/>
          <w:b/>
          <w:bCs/>
          <w:sz w:val="24"/>
          <w:szCs w:val="24"/>
        </w:rPr>
        <w:t>一、重要提示</w:t>
      </w:r>
      <w:bookmarkEnd w:id="0"/>
    </w:p>
    <w:p w:rsidR="003D79D2" w:rsidRDefault="00D75A6D" w:rsidP="00253DC8">
      <w:pPr>
        <w:spacing w:before="40" w:after="40" w:line="240" w:lineRule="exact"/>
        <w:jc w:val="both"/>
        <w:rPr>
          <w:rFonts w:ascii="宋体" w:eastAsia="宋体" w:hAnsi="宋体" w:cs="宋体"/>
          <w:sz w:val="18"/>
          <w:szCs w:val="18"/>
        </w:rPr>
      </w:pPr>
      <w:proofErr w:type="gramStart"/>
      <w:r>
        <w:rPr>
          <w:rFonts w:ascii="宋体" w:eastAsia="宋体" w:hAnsi="宋体" w:cs="宋体"/>
          <w:sz w:val="18"/>
          <w:szCs w:val="18"/>
        </w:rPr>
        <w:t>本半年度</w:t>
      </w:r>
      <w:proofErr w:type="gramEnd"/>
      <w:r>
        <w:rPr>
          <w:rFonts w:ascii="宋体" w:eastAsia="宋体" w:hAnsi="宋体" w:cs="宋体"/>
          <w:sz w:val="18"/>
          <w:szCs w:val="18"/>
        </w:rPr>
        <w:t>报告摘要来自半年度报告全文，为全面了解本公司的经营成果、财务状况及未来发展规划，投资者应当到证监会指定媒体仔细阅读半年度报告全文。</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所有董事均</w:t>
      </w:r>
      <w:proofErr w:type="gramStart"/>
      <w:r>
        <w:rPr>
          <w:rFonts w:ascii="宋体" w:eastAsia="宋体" w:hAnsi="宋体" w:cs="宋体"/>
          <w:sz w:val="18"/>
          <w:szCs w:val="18"/>
        </w:rPr>
        <w:t>已出席</w:t>
      </w:r>
      <w:proofErr w:type="gramEnd"/>
      <w:r>
        <w:rPr>
          <w:rFonts w:ascii="宋体" w:eastAsia="宋体" w:hAnsi="宋体" w:cs="宋体"/>
          <w:sz w:val="18"/>
          <w:szCs w:val="18"/>
        </w:rPr>
        <w:t>了审议本报告的董事会会议。</w:t>
      </w:r>
    </w:p>
    <w:p w:rsidR="003D79D2" w:rsidRDefault="00D75A6D">
      <w:pPr>
        <w:spacing w:before="100" w:after="100" w:line="240" w:lineRule="exact"/>
        <w:rPr>
          <w:rFonts w:ascii="宋体" w:eastAsia="宋体" w:hAnsi="宋体" w:cs="宋体"/>
          <w:sz w:val="18"/>
          <w:szCs w:val="18"/>
        </w:rPr>
      </w:pPr>
      <w:r>
        <w:rPr>
          <w:rFonts w:ascii="宋体" w:eastAsia="宋体" w:hAnsi="宋体" w:cs="宋体"/>
          <w:sz w:val="18"/>
          <w:szCs w:val="18"/>
        </w:rPr>
        <w:t>非标准审计意见提示</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spacing w:before="100" w:after="40" w:line="240" w:lineRule="exact"/>
        <w:rPr>
          <w:rFonts w:ascii="宋体" w:eastAsia="宋体" w:hAnsi="宋体" w:cs="宋体"/>
          <w:sz w:val="18"/>
          <w:szCs w:val="18"/>
        </w:rPr>
      </w:pPr>
      <w:r>
        <w:rPr>
          <w:rFonts w:ascii="宋体" w:eastAsia="宋体" w:hAnsi="宋体" w:cs="宋体"/>
          <w:sz w:val="18"/>
          <w:szCs w:val="18"/>
        </w:rPr>
        <w:t>董事会审议的报告期普通股利润分配预案或公积金转增股本预案</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公司计划</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p w:rsidR="003D79D2" w:rsidRDefault="00D75A6D">
      <w:pPr>
        <w:spacing w:before="100" w:after="100" w:line="240" w:lineRule="exact"/>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3D79D2" w:rsidRDefault="00D75A6D">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2142"/>
        <w:gridCol w:w="1071"/>
        <w:gridCol w:w="1071"/>
        <w:gridCol w:w="2142"/>
      </w:tblGrid>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华西股份</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000936</w:t>
            </w:r>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6426" w:type="dxa"/>
            <w:gridSpan w:val="4"/>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王学良</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proofErr w:type="gramStart"/>
            <w:r>
              <w:rPr>
                <w:rFonts w:ascii="宋体" w:eastAsia="宋体" w:hAnsi="宋体" w:cs="宋体"/>
                <w:sz w:val="18"/>
                <w:szCs w:val="18"/>
              </w:rPr>
              <w:t>查建玉</w:t>
            </w:r>
            <w:proofErr w:type="gramEnd"/>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江苏省江阴市华西村南苑宾馆9号楼</w:t>
            </w:r>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0510-86217188</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0510-86217149</w:t>
            </w:r>
          </w:p>
        </w:tc>
      </w:tr>
      <w:tr w:rsidR="003D79D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wangxl@cnhuaxicun.com</w:t>
            </w:r>
          </w:p>
        </w:tc>
        <w:tc>
          <w:tcPr>
            <w:tcW w:w="3213"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zhajy@cnhuaxicun.com</w:t>
            </w:r>
          </w:p>
        </w:tc>
      </w:tr>
    </w:tbl>
    <w:p w:rsidR="003D79D2" w:rsidRDefault="00D75A6D">
      <w:pPr>
        <w:pStyle w:val="3"/>
        <w:spacing w:line="280" w:lineRule="exact"/>
        <w:jc w:val="left"/>
        <w:rPr>
          <w:rFonts w:ascii="宋体" w:hAnsi="宋体" w:cs="宋体"/>
          <w:b/>
          <w:bCs/>
        </w:rPr>
      </w:pPr>
      <w:bookmarkStart w:id="3" w:name="_Toc988892"/>
      <w:r>
        <w:rPr>
          <w:rFonts w:ascii="宋体" w:hAnsi="宋体" w:cs="宋体"/>
          <w:b/>
          <w:bCs/>
        </w:rPr>
        <w:t>2、主要财务数据和财务指标</w:t>
      </w:r>
      <w:bookmarkEnd w:id="3"/>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55"/>
        <w:gridCol w:w="1928"/>
        <w:gridCol w:w="1928"/>
        <w:gridCol w:w="1928"/>
      </w:tblGrid>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1,333,807,504.83</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1,477,391,014.14</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-9.72%</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44,377,070.32</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98,728,051.07</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-55.05%</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42,330,666.42</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98,203,482.54</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-56.89%</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-16,421,480.07</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-92,450,866.83</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82.24%</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-54.55%</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-54.55%</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0.87%</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206DA9" w:rsidP="00206DA9">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1.08个百分点</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6,599,964,500.84</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3.32%</w:t>
            </w:r>
          </w:p>
        </w:tc>
      </w:tr>
      <w:tr w:rsidR="003D79D2">
        <w:trPr>
          <w:trHeight w:val="240"/>
        </w:trPr>
        <w:tc>
          <w:tcPr>
            <w:tcW w:w="3856"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5,085,456,869.01</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1928"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0.74%</w:t>
            </w:r>
          </w:p>
        </w:tc>
      </w:tr>
    </w:tbl>
    <w:p w:rsidR="003D79D2" w:rsidRDefault="00D75A6D">
      <w:pPr>
        <w:pStyle w:val="3"/>
        <w:spacing w:line="280" w:lineRule="exact"/>
        <w:jc w:val="left"/>
        <w:rPr>
          <w:rFonts w:ascii="宋体" w:hAnsi="宋体" w:cs="宋体"/>
          <w:b/>
          <w:bCs/>
        </w:rPr>
      </w:pPr>
      <w:bookmarkStart w:id="4" w:name="_Toc988893"/>
      <w:r>
        <w:rPr>
          <w:rFonts w:ascii="宋体" w:hAnsi="宋体" w:cs="宋体"/>
          <w:b/>
          <w:bCs/>
        </w:rPr>
        <w:t>3、公司股东数量及持股情况</w:t>
      </w:r>
      <w:bookmarkEnd w:id="4"/>
    </w:p>
    <w:p w:rsidR="003D79D2" w:rsidRDefault="00D75A6D">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2142"/>
        <w:gridCol w:w="1071"/>
        <w:gridCol w:w="1071"/>
      </w:tblGrid>
      <w:tr w:rsidR="003D79D2">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100,949</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3D79D2">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3D79D2">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4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21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3D79D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214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21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3D79D2"/>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3D79D2" w:rsidRDefault="00D75A6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江阴市凝秀建设投资发展有限公司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1.21%</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10,696,226.00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JPMORGAN CHASE BANK,NATIONAL</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ASSOCIATION</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0.61%</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5,408,126.00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江苏银行股份有限公司－诺安积极回报灵活配置混合型证券投资基金</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其他</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0.52%</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4,630,993.00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华泰证券股份有限公司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3,914,779.00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国泰君安证券股份有限公司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3,784,222.00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张声茂</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0.40%</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3,581,719.00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李敏</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2,920,188.00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3D79D2">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沈加权</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3D79D2" w:rsidRDefault="00D75A6D">
            <w:pPr>
              <w:spacing w:line="240" w:lineRule="exact"/>
              <w:jc w:val="right"/>
              <w:rPr>
                <w:rFonts w:ascii="宋体" w:eastAsia="宋体" w:hAnsi="宋体" w:cs="宋体"/>
                <w:sz w:val="18"/>
                <w:szCs w:val="18"/>
              </w:rPr>
            </w:pPr>
            <w:r>
              <w:rPr>
                <w:rFonts w:ascii="宋体" w:eastAsia="宋体" w:hAnsi="宋体" w:cs="宋体"/>
                <w:sz w:val="18"/>
                <w:szCs w:val="18"/>
              </w:rPr>
              <w:t>2,509,000.00</w:t>
            </w:r>
          </w:p>
        </w:tc>
        <w:tc>
          <w:tcPr>
            <w:tcW w:w="2142"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D79D2" w:rsidRDefault="003D79D2">
            <w:pPr>
              <w:spacing w:line="240" w:lineRule="exact"/>
              <w:jc w:val="right"/>
              <w:rPr>
                <w:rFonts w:ascii="宋体" w:eastAsia="宋体" w:hAnsi="宋体" w:cs="宋体"/>
                <w:sz w:val="18"/>
                <w:szCs w:val="18"/>
              </w:rPr>
            </w:pPr>
          </w:p>
        </w:tc>
      </w:tr>
      <w:tr w:rsidR="00AD30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3090" w:rsidRDefault="00AD3090" w:rsidP="00AD3090">
            <w:pPr>
              <w:spacing w:before="40" w:after="40" w:line="360" w:lineRule="auto"/>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6"/>
            <w:tcBorders>
              <w:top w:val="single" w:sz="2" w:space="0" w:color="auto"/>
              <w:left w:val="single" w:sz="2" w:space="0" w:color="auto"/>
              <w:bottom w:val="single" w:sz="2" w:space="0" w:color="auto"/>
              <w:right w:val="single" w:sz="2" w:space="0" w:color="auto"/>
            </w:tcBorders>
            <w:vAlign w:val="center"/>
          </w:tcPr>
          <w:p w:rsidR="00AD3090" w:rsidRDefault="00AD3090" w:rsidP="00AD3090">
            <w:pPr>
              <w:spacing w:line="360" w:lineRule="auto"/>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AD30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D3090" w:rsidRDefault="00AD3090">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参与融资融券业务股东情况说明（如有）</w:t>
            </w:r>
          </w:p>
        </w:tc>
        <w:tc>
          <w:tcPr>
            <w:tcW w:w="7497" w:type="dxa"/>
            <w:gridSpan w:val="6"/>
            <w:tcBorders>
              <w:top w:val="single" w:sz="2" w:space="0" w:color="auto"/>
              <w:left w:val="single" w:sz="2" w:space="0" w:color="auto"/>
              <w:bottom w:val="single" w:sz="2" w:space="0" w:color="auto"/>
              <w:right w:val="single" w:sz="2" w:space="0" w:color="auto"/>
            </w:tcBorders>
            <w:vAlign w:val="center"/>
          </w:tcPr>
          <w:p w:rsidR="00AD3090" w:rsidRDefault="00AD3090">
            <w:pPr>
              <w:spacing w:line="240" w:lineRule="exact"/>
              <w:rPr>
                <w:rFonts w:ascii="宋体" w:eastAsia="宋体" w:hAnsi="宋体" w:cs="宋体"/>
                <w:sz w:val="18"/>
                <w:szCs w:val="18"/>
              </w:rPr>
            </w:pPr>
            <w:r>
              <w:rPr>
                <w:rFonts w:ascii="宋体" w:eastAsia="宋体" w:hAnsi="宋体" w:cs="宋体"/>
                <w:sz w:val="18"/>
                <w:szCs w:val="18"/>
              </w:rPr>
              <w:t>股东“张声茂”通过信用交易担保证券账户持有公司股票3,581,719股。</w:t>
            </w:r>
          </w:p>
          <w:p w:rsidR="00AD3090" w:rsidRDefault="00AD3090" w:rsidP="00253DC8">
            <w:pPr>
              <w:spacing w:line="240" w:lineRule="exact"/>
              <w:jc w:val="both"/>
              <w:rPr>
                <w:rFonts w:ascii="宋体" w:eastAsia="宋体" w:hAnsi="宋体" w:cs="宋体"/>
                <w:sz w:val="18"/>
                <w:szCs w:val="18"/>
              </w:rPr>
            </w:pPr>
            <w:r>
              <w:rPr>
                <w:rFonts w:ascii="宋体" w:eastAsia="宋体" w:hAnsi="宋体" w:cs="宋体"/>
                <w:sz w:val="18"/>
                <w:szCs w:val="18"/>
              </w:rPr>
              <w:t>股东“李敏”通过普通账户持有公司股票65,100股，通过信用交易担保证券账户持有公司股票2,855,088股。</w:t>
            </w:r>
          </w:p>
          <w:p w:rsidR="00AD3090" w:rsidRDefault="00AD3090" w:rsidP="00253DC8">
            <w:pPr>
              <w:spacing w:line="240" w:lineRule="exact"/>
              <w:jc w:val="both"/>
              <w:rPr>
                <w:rFonts w:ascii="宋体" w:eastAsia="宋体" w:hAnsi="宋体" w:cs="宋体"/>
                <w:sz w:val="18"/>
                <w:szCs w:val="18"/>
              </w:rPr>
            </w:pPr>
            <w:r>
              <w:rPr>
                <w:rFonts w:ascii="宋体" w:eastAsia="宋体" w:hAnsi="宋体" w:cs="宋体"/>
                <w:sz w:val="18"/>
                <w:szCs w:val="18"/>
              </w:rPr>
              <w:t>股东“沈加权”通过普通账户持有公司股票4,000股，通过信用交易担保证券账户持有公司股票2,505,000股。</w:t>
            </w:r>
          </w:p>
        </w:tc>
      </w:tr>
    </w:tbl>
    <w:p w:rsidR="003D79D2" w:rsidRDefault="00D75A6D">
      <w:pPr>
        <w:pStyle w:val="3"/>
        <w:spacing w:line="280" w:lineRule="exact"/>
        <w:jc w:val="left"/>
        <w:rPr>
          <w:rFonts w:ascii="宋体" w:hAnsi="宋体" w:cs="宋体"/>
          <w:b/>
          <w:bCs/>
        </w:rPr>
      </w:pPr>
      <w:bookmarkStart w:id="5" w:name="_Toc988894"/>
      <w:r>
        <w:rPr>
          <w:rFonts w:ascii="宋体" w:hAnsi="宋体" w:cs="宋体"/>
          <w:b/>
          <w:bCs/>
        </w:rPr>
        <w:t>4、控股股东或实际控制人变更情况</w:t>
      </w:r>
      <w:bookmarkEnd w:id="5"/>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3D79D2" w:rsidRDefault="00D75A6D">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3D79D2" w:rsidRDefault="00D75A6D">
      <w:pPr>
        <w:pStyle w:val="3"/>
        <w:spacing w:line="280" w:lineRule="exact"/>
        <w:jc w:val="left"/>
        <w:rPr>
          <w:rFonts w:ascii="宋体" w:hAnsi="宋体" w:cs="宋体"/>
          <w:b/>
          <w:bCs/>
        </w:rPr>
      </w:pPr>
      <w:bookmarkStart w:id="6" w:name="_Toc988895"/>
      <w:r>
        <w:rPr>
          <w:rFonts w:ascii="宋体" w:hAnsi="宋体" w:cs="宋体"/>
          <w:b/>
          <w:bCs/>
        </w:rPr>
        <w:t>5、公司优先股股东总数及前10名优先股股东持股情况表</w:t>
      </w:r>
      <w:bookmarkEnd w:id="6"/>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spacing w:line="240" w:lineRule="exact"/>
        <w:rPr>
          <w:rFonts w:ascii="宋体" w:eastAsia="宋体" w:hAnsi="宋体" w:cs="宋体"/>
          <w:sz w:val="18"/>
          <w:szCs w:val="18"/>
        </w:rPr>
      </w:pPr>
      <w:r>
        <w:rPr>
          <w:rFonts w:ascii="宋体" w:eastAsia="宋体" w:hAnsi="宋体" w:cs="宋体"/>
          <w:sz w:val="18"/>
          <w:szCs w:val="18"/>
        </w:rPr>
        <w:t>公司报告期无优先股股东持股情况。</w:t>
      </w:r>
    </w:p>
    <w:p w:rsidR="003D79D2" w:rsidRDefault="00D75A6D">
      <w:pPr>
        <w:pStyle w:val="3"/>
        <w:spacing w:line="280" w:lineRule="exact"/>
        <w:jc w:val="left"/>
        <w:rPr>
          <w:rFonts w:ascii="宋体" w:hAnsi="宋体" w:cs="宋体"/>
          <w:b/>
          <w:bCs/>
        </w:rPr>
      </w:pPr>
      <w:bookmarkStart w:id="7" w:name="_Toc988896"/>
      <w:r>
        <w:rPr>
          <w:rFonts w:ascii="宋体" w:hAnsi="宋体" w:cs="宋体"/>
          <w:b/>
          <w:bCs/>
        </w:rPr>
        <w:t>6、在半年度报告批准报出日存续的债券情况</w:t>
      </w:r>
      <w:bookmarkEnd w:id="7"/>
    </w:p>
    <w:p w:rsidR="003D79D2" w:rsidRDefault="00D75A6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3D79D2" w:rsidRDefault="00D75A6D">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三、重要事项</w:t>
      </w:r>
      <w:bookmarkEnd w:id="8"/>
    </w:p>
    <w:p w:rsidR="00084774" w:rsidRDefault="00253DC8" w:rsidP="00253DC8">
      <w:pPr>
        <w:pStyle w:val="a3"/>
        <w:ind w:firstLineChars="200" w:firstLine="360"/>
        <w:jc w:val="both"/>
        <w:divId w:val="814832578"/>
        <w:rPr>
          <w:sz w:val="18"/>
          <w:szCs w:val="18"/>
        </w:rPr>
      </w:pPr>
      <w:r>
        <w:rPr>
          <w:rFonts w:hint="eastAsia"/>
          <w:sz w:val="18"/>
          <w:szCs w:val="18"/>
        </w:rPr>
        <w:t>2023</w:t>
      </w:r>
      <w:r w:rsidR="00D75A6D">
        <w:rPr>
          <w:rFonts w:hint="eastAsia"/>
          <w:sz w:val="18"/>
          <w:szCs w:val="18"/>
        </w:rPr>
        <w:t>年7月19日，公司实际控制人江阴市华士镇华西新市村村民委员会（以下简称“华西村委会")与江阴联华优化调整产业投资合伙企业（有限合伙）签署了《关于江苏华西集团有限公司的股权转让协议》，华西村委会拟将其持有的江苏华西集团有限公司（以下简称“华西集团”）80%的股权转让给江阴联华优化调整产业投资合伙企业(有限合伙)。本次股权转让完成后，华西集团仍为公司控股股东，公司实际控制人将由华西村委会变更为江阴市人民政府国有资产监督管理办公室。截至目前，该股权转让事项尚在进展过程中。</w:t>
      </w:r>
    </w:p>
    <w:p w:rsidR="00FA1552" w:rsidRDefault="00FA1552">
      <w:pPr>
        <w:pStyle w:val="a3"/>
        <w:divId w:val="814832578"/>
        <w:rPr>
          <w:sz w:val="18"/>
          <w:szCs w:val="18"/>
        </w:rPr>
      </w:pPr>
    </w:p>
    <w:p w:rsidR="00FA1552" w:rsidRDefault="00FA1552">
      <w:pPr>
        <w:pStyle w:val="a3"/>
        <w:divId w:val="814832578"/>
        <w:rPr>
          <w:sz w:val="18"/>
          <w:szCs w:val="18"/>
        </w:rPr>
      </w:pPr>
    </w:p>
    <w:p w:rsidR="00FA1552" w:rsidRPr="00FA1552" w:rsidRDefault="00FA1552">
      <w:pPr>
        <w:pStyle w:val="a3"/>
        <w:divId w:val="814832578"/>
        <w:rPr>
          <w:b/>
          <w:sz w:val="21"/>
          <w:szCs w:val="21"/>
        </w:rPr>
      </w:pPr>
      <w:r>
        <w:rPr>
          <w:rFonts w:hint="eastAsia"/>
          <w:sz w:val="18"/>
          <w:szCs w:val="18"/>
        </w:rPr>
        <w:t xml:space="preserve">                                                           </w:t>
      </w:r>
      <w:r w:rsidRPr="00FA1552">
        <w:rPr>
          <w:rFonts w:hint="eastAsia"/>
          <w:sz w:val="21"/>
          <w:szCs w:val="21"/>
        </w:rPr>
        <w:t xml:space="preserve"> </w:t>
      </w:r>
      <w:r w:rsidRPr="00FA1552">
        <w:rPr>
          <w:rFonts w:hint="eastAsia"/>
          <w:b/>
          <w:sz w:val="21"/>
          <w:szCs w:val="21"/>
        </w:rPr>
        <w:t xml:space="preserve">    江苏华西村股份有限公司</w:t>
      </w:r>
      <w:r>
        <w:rPr>
          <w:rFonts w:hint="eastAsia"/>
          <w:b/>
          <w:sz w:val="21"/>
          <w:szCs w:val="21"/>
        </w:rPr>
        <w:t>董事会</w:t>
      </w:r>
    </w:p>
    <w:p w:rsidR="00FA1552" w:rsidRPr="00FA1552" w:rsidRDefault="00FA1552">
      <w:pPr>
        <w:pStyle w:val="a3"/>
        <w:divId w:val="814832578"/>
        <w:rPr>
          <w:b/>
          <w:sz w:val="21"/>
          <w:szCs w:val="21"/>
        </w:rPr>
      </w:pPr>
      <w:r w:rsidRPr="00FA1552">
        <w:rPr>
          <w:rFonts w:hint="eastAsia"/>
          <w:b/>
          <w:sz w:val="21"/>
          <w:szCs w:val="21"/>
        </w:rPr>
        <w:t xml:space="preserve">                                                        </w:t>
      </w:r>
      <w:r>
        <w:rPr>
          <w:rFonts w:hint="eastAsia"/>
          <w:b/>
          <w:sz w:val="21"/>
          <w:szCs w:val="21"/>
        </w:rPr>
        <w:t xml:space="preserve">    </w:t>
      </w:r>
      <w:r w:rsidRPr="00FA1552">
        <w:rPr>
          <w:rFonts w:hint="eastAsia"/>
          <w:b/>
          <w:sz w:val="21"/>
          <w:szCs w:val="21"/>
        </w:rPr>
        <w:t xml:space="preserve"> 董事长：吴协恩</w:t>
      </w:r>
    </w:p>
    <w:p w:rsidR="00FA1552" w:rsidRPr="00FA1552" w:rsidRDefault="00FA1552">
      <w:pPr>
        <w:pStyle w:val="a3"/>
        <w:divId w:val="814832578"/>
        <w:rPr>
          <w:b/>
          <w:sz w:val="21"/>
          <w:szCs w:val="21"/>
        </w:rPr>
      </w:pPr>
      <w:r w:rsidRPr="00FA1552">
        <w:rPr>
          <w:rFonts w:hint="eastAsia"/>
          <w:b/>
          <w:sz w:val="21"/>
          <w:szCs w:val="21"/>
        </w:rPr>
        <w:t xml:space="preserve">                                 </w:t>
      </w:r>
      <w:bookmarkStart w:id="9" w:name="_GoBack"/>
      <w:bookmarkEnd w:id="9"/>
      <w:r w:rsidRPr="00FA1552">
        <w:rPr>
          <w:rFonts w:hint="eastAsia"/>
          <w:b/>
          <w:sz w:val="21"/>
          <w:szCs w:val="21"/>
        </w:rPr>
        <w:t xml:space="preserve">                 </w:t>
      </w:r>
      <w:r>
        <w:rPr>
          <w:rFonts w:hint="eastAsia"/>
          <w:b/>
          <w:sz w:val="21"/>
          <w:szCs w:val="21"/>
        </w:rPr>
        <w:t xml:space="preserve">         </w:t>
      </w:r>
      <w:r w:rsidRPr="00FA1552">
        <w:rPr>
          <w:rFonts w:hint="eastAsia"/>
          <w:b/>
          <w:sz w:val="21"/>
          <w:szCs w:val="21"/>
        </w:rPr>
        <w:t xml:space="preserve">  </w:t>
      </w:r>
      <w:r>
        <w:rPr>
          <w:rFonts w:hint="eastAsia"/>
          <w:b/>
          <w:sz w:val="21"/>
          <w:szCs w:val="21"/>
        </w:rPr>
        <w:t>2023</w:t>
      </w:r>
      <w:r w:rsidRPr="00FA1552">
        <w:rPr>
          <w:b/>
          <w:sz w:val="21"/>
          <w:szCs w:val="21"/>
        </w:rPr>
        <w:t>年</w:t>
      </w:r>
      <w:r>
        <w:rPr>
          <w:rFonts w:hint="eastAsia"/>
          <w:b/>
          <w:sz w:val="21"/>
          <w:szCs w:val="21"/>
        </w:rPr>
        <w:t>8</w:t>
      </w:r>
      <w:r w:rsidRPr="00FA1552">
        <w:rPr>
          <w:b/>
          <w:sz w:val="21"/>
          <w:szCs w:val="21"/>
        </w:rPr>
        <w:t>月</w:t>
      </w:r>
      <w:r>
        <w:rPr>
          <w:rFonts w:hint="eastAsia"/>
          <w:b/>
          <w:sz w:val="21"/>
          <w:szCs w:val="21"/>
        </w:rPr>
        <w:t>28</w:t>
      </w:r>
      <w:r w:rsidR="008649CE">
        <w:rPr>
          <w:b/>
          <w:sz w:val="21"/>
          <w:szCs w:val="21"/>
        </w:rPr>
        <w:t>日</w:t>
      </w:r>
    </w:p>
    <w:sectPr w:rsidR="00FA1552" w:rsidRPr="00FA1552">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0D" w:rsidRDefault="00084B0D">
      <w:r>
        <w:separator/>
      </w:r>
    </w:p>
  </w:endnote>
  <w:endnote w:type="continuationSeparator" w:id="0">
    <w:p w:rsidR="00084B0D" w:rsidRDefault="0008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D2" w:rsidRDefault="00D75A6D" w:rsidP="006B6C20">
    <w:pPr>
      <w:pStyle w:val="fotter1"/>
      <w:jc w:val="center"/>
    </w:pPr>
    <w:r>
      <w:fldChar w:fldCharType="begin"/>
    </w:r>
    <w:r>
      <w:instrText>PAGE   \* MERGEFORMAT</w:instrText>
    </w:r>
    <w:r>
      <w:fldChar w:fldCharType="separate"/>
    </w:r>
    <w:r w:rsidR="008649C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0D" w:rsidRDefault="00084B0D">
      <w:r>
        <w:separator/>
      </w:r>
    </w:p>
  </w:footnote>
  <w:footnote w:type="continuationSeparator" w:id="0">
    <w:p w:rsidR="00084B0D" w:rsidRDefault="00084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D2" w:rsidRDefault="00D75A6D">
    <w:pPr>
      <w:pStyle w:val="Header1"/>
      <w:pBdr>
        <w:bottom w:val="single" w:sz="6" w:space="1" w:color="auto"/>
      </w:pBdr>
    </w:pPr>
    <w:r>
      <w:t>江苏华西村股份有限公司2023年半年度报告摘要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D79D2"/>
    <w:rsid w:val="00084774"/>
    <w:rsid w:val="00084B0D"/>
    <w:rsid w:val="00206DA9"/>
    <w:rsid w:val="00253DC8"/>
    <w:rsid w:val="003906A8"/>
    <w:rsid w:val="003D79D2"/>
    <w:rsid w:val="0042250A"/>
    <w:rsid w:val="006445F5"/>
    <w:rsid w:val="006B6C20"/>
    <w:rsid w:val="008649CE"/>
    <w:rsid w:val="00AD3090"/>
    <w:rsid w:val="00D75A6D"/>
    <w:rsid w:val="00DC7478"/>
    <w:rsid w:val="00DD4A06"/>
    <w:rsid w:val="00FA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6B6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6C20"/>
    <w:rPr>
      <w:sz w:val="18"/>
      <w:szCs w:val="18"/>
    </w:rPr>
  </w:style>
  <w:style w:type="paragraph" w:styleId="a5">
    <w:name w:val="footer"/>
    <w:basedOn w:val="a"/>
    <w:link w:val="Char0"/>
    <w:uiPriority w:val="99"/>
    <w:unhideWhenUsed/>
    <w:rsid w:val="006B6C20"/>
    <w:pPr>
      <w:tabs>
        <w:tab w:val="center" w:pos="4153"/>
        <w:tab w:val="right" w:pos="8306"/>
      </w:tabs>
      <w:snapToGrid w:val="0"/>
    </w:pPr>
    <w:rPr>
      <w:sz w:val="18"/>
      <w:szCs w:val="18"/>
    </w:rPr>
  </w:style>
  <w:style w:type="character" w:customStyle="1" w:styleId="Char0">
    <w:name w:val="页脚 Char"/>
    <w:basedOn w:val="a0"/>
    <w:link w:val="a5"/>
    <w:uiPriority w:val="99"/>
    <w:rsid w:val="006B6C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6B6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6C20"/>
    <w:rPr>
      <w:sz w:val="18"/>
      <w:szCs w:val="18"/>
    </w:rPr>
  </w:style>
  <w:style w:type="paragraph" w:styleId="a5">
    <w:name w:val="footer"/>
    <w:basedOn w:val="a"/>
    <w:link w:val="Char0"/>
    <w:uiPriority w:val="99"/>
    <w:unhideWhenUsed/>
    <w:rsid w:val="006B6C20"/>
    <w:pPr>
      <w:tabs>
        <w:tab w:val="center" w:pos="4153"/>
        <w:tab w:val="right" w:pos="8306"/>
      </w:tabs>
      <w:snapToGrid w:val="0"/>
    </w:pPr>
    <w:rPr>
      <w:sz w:val="18"/>
      <w:szCs w:val="18"/>
    </w:rPr>
  </w:style>
  <w:style w:type="character" w:customStyle="1" w:styleId="Char0">
    <w:name w:val="页脚 Char"/>
    <w:basedOn w:val="a0"/>
    <w:link w:val="a5"/>
    <w:uiPriority w:val="99"/>
    <w:rsid w:val="006B6C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10</cp:revision>
  <cp:lastPrinted>2023-08-17T01:10:00Z</cp:lastPrinted>
  <dcterms:created xsi:type="dcterms:W3CDTF">2023-08-17T00:49:00Z</dcterms:created>
  <dcterms:modified xsi:type="dcterms:W3CDTF">2023-08-28T05:04:00Z</dcterms:modified>
</cp:coreProperties>
</file>